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EF514" w14:textId="77777777" w:rsidR="00F65210" w:rsidRDefault="00F42701">
      <w:pPr>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SOLICITUD DE EXPRESIONES DE INTERÉS</w:t>
      </w:r>
    </w:p>
    <w:p w14:paraId="143CD4B6" w14:textId="77777777" w:rsidR="00F65210" w:rsidRDefault="00F42701">
      <w:pPr>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(SERVICIOS DE CONSULTORÍA – SELECCIÓN DE FIRMAS)</w:t>
      </w:r>
    </w:p>
    <w:p w14:paraId="7CB918CA" w14:textId="77777777" w:rsidR="00F65210" w:rsidRDefault="00F42701">
      <w:pPr>
        <w:widowControl/>
        <w:pBdr>
          <w:top w:val="nil"/>
          <w:left w:val="nil"/>
          <w:bottom w:val="nil"/>
          <w:right w:val="nil"/>
          <w:between w:val="nil"/>
        </w:pBdr>
        <w:jc w:val="cente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País:</w:t>
      </w:r>
      <w:r>
        <w:rPr>
          <w:rFonts w:ascii="Times New Roman" w:eastAsia="Times New Roman" w:hAnsi="Times New Roman" w:cs="Times New Roman"/>
          <w:color w:val="000000"/>
          <w:sz w:val="21"/>
          <w:szCs w:val="21"/>
        </w:rPr>
        <w:t xml:space="preserve"> Perú</w:t>
      </w:r>
    </w:p>
    <w:p w14:paraId="63F8F2F2" w14:textId="77777777" w:rsidR="00F65210" w:rsidRDefault="00F42701">
      <w:pPr>
        <w:widowControl/>
        <w:pBdr>
          <w:top w:val="nil"/>
          <w:left w:val="nil"/>
          <w:bottom w:val="nil"/>
          <w:right w:val="nil"/>
          <w:between w:val="nil"/>
        </w:pBdr>
        <w:jc w:val="cente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Proyecto:</w:t>
      </w:r>
      <w:r>
        <w:rPr>
          <w:rFonts w:ascii="Times New Roman" w:eastAsia="Times New Roman" w:hAnsi="Times New Roman" w:cs="Times New Roman"/>
          <w:color w:val="000000"/>
          <w:sz w:val="21"/>
          <w:szCs w:val="21"/>
        </w:rPr>
        <w:t xml:space="preserve"> Mejoramiento y Ampliación de los Servicios de Ciencia Tecnología e Innovación CTI para fortalecer el Sistema Nacional de Ciencia, Tecnología e Innovación</w:t>
      </w:r>
    </w:p>
    <w:p w14:paraId="608D079A" w14:textId="77777777" w:rsidR="00F65210" w:rsidRDefault="00F42701">
      <w:pPr>
        <w:widowControl/>
        <w:pBdr>
          <w:top w:val="nil"/>
          <w:left w:val="nil"/>
          <w:bottom w:val="nil"/>
          <w:right w:val="nil"/>
          <w:between w:val="nil"/>
        </w:pBdr>
        <w:jc w:val="cente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Contrato de Préstamo: N°9334-PE</w:t>
      </w:r>
    </w:p>
    <w:p w14:paraId="1D69890C" w14:textId="77777777" w:rsidR="00F65210" w:rsidRDefault="00F65210">
      <w:pPr>
        <w:jc w:val="center"/>
        <w:rPr>
          <w:rFonts w:ascii="Times New Roman" w:eastAsia="Times New Roman" w:hAnsi="Times New Roman" w:cs="Times New Roman"/>
          <w:b/>
          <w:sz w:val="21"/>
          <w:szCs w:val="21"/>
        </w:rPr>
      </w:pPr>
    </w:p>
    <w:p w14:paraId="74BB4CA0" w14:textId="77777777" w:rsidR="00F65210" w:rsidRDefault="00F42701">
      <w:pPr>
        <w:jc w:val="center"/>
        <w:rPr>
          <w:rFonts w:ascii="Times New Roman" w:eastAsia="Times New Roman" w:hAnsi="Times New Roman" w:cs="Times New Roman"/>
          <w:b/>
          <w:sz w:val="21"/>
          <w:szCs w:val="21"/>
          <w:highlight w:val="white"/>
        </w:rPr>
      </w:pPr>
      <w:r>
        <w:rPr>
          <w:rFonts w:ascii="Times New Roman" w:eastAsia="Times New Roman" w:hAnsi="Times New Roman" w:cs="Times New Roman"/>
          <w:b/>
          <w:sz w:val="21"/>
          <w:szCs w:val="21"/>
        </w:rPr>
        <w:t xml:space="preserve">Título Asignado: </w:t>
      </w:r>
      <w:r>
        <w:rPr>
          <w:rFonts w:ascii="Times New Roman" w:eastAsia="Times New Roman" w:hAnsi="Times New Roman" w:cs="Times New Roman"/>
          <w:sz w:val="21"/>
          <w:szCs w:val="21"/>
        </w:rPr>
        <w:t>DISEÑO DE PROCESOS, REQUERIMIENTOS FUNCIONALES, NO FUNCIONALES Y PROTOTIPADO DE LA PLATAFORMA DE GESTIÓN DE FONDOS CONCURSABLES</w:t>
      </w:r>
    </w:p>
    <w:p w14:paraId="507789F7" w14:textId="77777777" w:rsidR="00F65210" w:rsidRDefault="00F42701">
      <w:pPr>
        <w:widowControl/>
        <w:pBdr>
          <w:top w:val="nil"/>
          <w:left w:val="nil"/>
          <w:bottom w:val="nil"/>
          <w:right w:val="nil"/>
          <w:between w:val="nil"/>
        </w:pBdr>
        <w:jc w:val="center"/>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b/>
          <w:color w:val="000000"/>
          <w:sz w:val="21"/>
          <w:szCs w:val="21"/>
        </w:rPr>
        <w:t>Número de Referencia:</w:t>
      </w:r>
      <w:r>
        <w:rPr>
          <w:rFonts w:ascii="Times New Roman" w:eastAsia="Times New Roman" w:hAnsi="Times New Roman" w:cs="Times New Roman"/>
          <w:color w:val="000000"/>
          <w:sz w:val="21"/>
          <w:szCs w:val="21"/>
        </w:rPr>
        <w:t xml:space="preserve"> PE-PROCIENCIA-432723-CS-CQS</w:t>
      </w:r>
    </w:p>
    <w:p w14:paraId="14F49BAE" w14:textId="77777777" w:rsidR="00F65210" w:rsidRDefault="00F65210">
      <w:pPr>
        <w:jc w:val="center"/>
        <w:rPr>
          <w:rFonts w:ascii="Times New Roman" w:eastAsia="Times New Roman" w:hAnsi="Times New Roman" w:cs="Times New Roman"/>
          <w:b/>
          <w:sz w:val="21"/>
          <w:szCs w:val="21"/>
          <w:highlight w:val="white"/>
        </w:rPr>
      </w:pPr>
    </w:p>
    <w:p w14:paraId="0705189D"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 Gobierno de la República del Perú ha recibido financiamiento del Banco Mundial para cubrir el costo del Proyecto </w:t>
      </w:r>
      <w:r>
        <w:rPr>
          <w:rFonts w:ascii="Times New Roman" w:eastAsia="Times New Roman" w:hAnsi="Times New Roman" w:cs="Times New Roman"/>
          <w:b/>
          <w:color w:val="000000"/>
          <w:sz w:val="21"/>
          <w:szCs w:val="21"/>
        </w:rPr>
        <w:t>Mejoramiento y Ampliación de los Servicios de Ciencia Tecnología e Innovación CTI para fortalecer el Sistema Nacional de Ciencia, Tecnología e Innovación</w:t>
      </w:r>
      <w:r>
        <w:rPr>
          <w:rFonts w:ascii="Times New Roman" w:eastAsia="Times New Roman" w:hAnsi="Times New Roman" w:cs="Times New Roman"/>
          <w:sz w:val="21"/>
          <w:szCs w:val="21"/>
        </w:rPr>
        <w:t>, y se propone utilizar una parte de los fondos para los servicios de consultoría.</w:t>
      </w:r>
    </w:p>
    <w:p w14:paraId="698DED90" w14:textId="77777777" w:rsidR="00F65210" w:rsidRDefault="00F42701">
      <w:pPr>
        <w:widowControl/>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El servicio de consultoría ("El Servicio") comprende: </w:t>
      </w:r>
      <w:r>
        <w:rPr>
          <w:rFonts w:ascii="Times New Roman" w:eastAsia="Times New Roman" w:hAnsi="Times New Roman" w:cs="Times New Roman"/>
          <w:sz w:val="21"/>
          <w:szCs w:val="21"/>
        </w:rPr>
        <w:t>Diseñar Procesos, Requerimientos Funcionales, No Funcionales y Prototipado de la Plataforma de Gestión de Fondos Concursables</w:t>
      </w:r>
      <w:r>
        <w:rPr>
          <w:rFonts w:ascii="Times New Roman" w:eastAsia="Times New Roman" w:hAnsi="Times New Roman" w:cs="Times New Roman"/>
          <w:color w:val="000000"/>
          <w:sz w:val="21"/>
          <w:szCs w:val="21"/>
        </w:rPr>
        <w:t>, en un periodo de 180 días.</w:t>
      </w:r>
    </w:p>
    <w:p w14:paraId="04DFA5CD"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Para mayor información pueden revisar los Términos de Referencia de la Consultoría en la página web del PROCIENCIA, en el siguiente enlace: </w:t>
      </w:r>
      <w:hyperlink r:id="rId8">
        <w:r>
          <w:rPr>
            <w:rFonts w:ascii="Times New Roman" w:eastAsia="Times New Roman" w:hAnsi="Times New Roman" w:cs="Times New Roman"/>
            <w:color w:val="0000FF"/>
            <w:sz w:val="21"/>
            <w:szCs w:val="21"/>
          </w:rPr>
          <w:t>https</w:t>
        </w:r>
      </w:hyperlink>
      <w:hyperlink r:id="rId9">
        <w:r>
          <w:rPr>
            <w:rFonts w:ascii="Times New Roman" w:eastAsia="Times New Roman" w:hAnsi="Times New Roman" w:cs="Times New Roman"/>
            <w:b/>
            <w:color w:val="0000FF"/>
            <w:sz w:val="21"/>
            <w:szCs w:val="21"/>
          </w:rPr>
          <w:t>://prociencia.gob.pe/expresiones-de-interes/</w:t>
        </w:r>
      </w:hyperlink>
      <w:r>
        <w:rPr>
          <w:rFonts w:ascii="Times New Roman" w:eastAsia="Times New Roman" w:hAnsi="Times New Roman" w:cs="Times New Roman"/>
          <w:b/>
          <w:sz w:val="21"/>
          <w:szCs w:val="21"/>
        </w:rPr>
        <w:t>.</w:t>
      </w:r>
    </w:p>
    <w:p w14:paraId="12E85FF3" w14:textId="77777777" w:rsidR="00F65210" w:rsidRDefault="00F65210">
      <w:pPr>
        <w:jc w:val="both"/>
        <w:rPr>
          <w:rFonts w:ascii="Times New Roman" w:eastAsia="Times New Roman" w:hAnsi="Times New Roman" w:cs="Times New Roman"/>
          <w:sz w:val="21"/>
          <w:szCs w:val="21"/>
        </w:rPr>
      </w:pPr>
    </w:p>
    <w:p w14:paraId="77B5A2C6"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 </w:t>
      </w:r>
      <w:r>
        <w:rPr>
          <w:rFonts w:ascii="Times New Roman" w:eastAsia="Times New Roman" w:hAnsi="Times New Roman" w:cs="Times New Roman"/>
          <w:b/>
          <w:sz w:val="21"/>
          <w:szCs w:val="21"/>
        </w:rPr>
        <w:t xml:space="preserve">Programa </w:t>
      </w:r>
      <w:r>
        <w:rPr>
          <w:rFonts w:ascii="Times New Roman" w:eastAsia="Times New Roman" w:hAnsi="Times New Roman" w:cs="Times New Roman"/>
          <w:b/>
          <w:color w:val="000000"/>
          <w:sz w:val="21"/>
          <w:szCs w:val="21"/>
        </w:rPr>
        <w:t>Nacional de Investigación Científica y Estudios Avanzados (PROCIENCIA)</w:t>
      </w:r>
      <w:r>
        <w:rPr>
          <w:rFonts w:ascii="Times New Roman" w:eastAsia="Times New Roman" w:hAnsi="Times New Roman" w:cs="Times New Roman"/>
          <w:sz w:val="21"/>
          <w:szCs w:val="21"/>
        </w:rPr>
        <w:t xml:space="preserve"> a solicitud del Consejo Nacional de Ciencia, Tecnología e Innovación (CONCYTEC), invita a las firmas consultoras elegibles ("Consultores") a expresar su interés en proveer el servicio solicitado. </w:t>
      </w:r>
    </w:p>
    <w:p w14:paraId="0E327A4C" w14:textId="77777777" w:rsidR="00F65210" w:rsidRDefault="00F65210">
      <w:pPr>
        <w:jc w:val="both"/>
        <w:rPr>
          <w:rFonts w:ascii="Times New Roman" w:eastAsia="Times New Roman" w:hAnsi="Times New Roman" w:cs="Times New Roman"/>
          <w:sz w:val="21"/>
          <w:szCs w:val="21"/>
        </w:rPr>
      </w:pPr>
    </w:p>
    <w:p w14:paraId="418A6C88" w14:textId="77777777" w:rsidR="00F65210" w:rsidRDefault="00F42701">
      <w:pPr>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La empresa consultora deberá cumplir con el siguiente perfil mínimo: </w:t>
      </w:r>
    </w:p>
    <w:p w14:paraId="76727CB6"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La firma puede ser una empresa o un consorcio de empresas, no se aceptarán consorcios entre personas naturales y personas jurídicas, debe contar con personería jurídica y debe cumplir los siguientes requisitos mínimos: </w:t>
      </w:r>
    </w:p>
    <w:p w14:paraId="2127541F" w14:textId="45FEE742" w:rsidR="00F65210" w:rsidRDefault="00F42701">
      <w:pPr>
        <w:jc w:val="both"/>
        <w:rPr>
          <w:rFonts w:ascii="Times New Roman" w:eastAsia="Times New Roman" w:hAnsi="Times New Roman" w:cs="Times New Roman"/>
          <w:i/>
          <w:sz w:val="21"/>
          <w:szCs w:val="21"/>
        </w:rPr>
      </w:pPr>
      <w:bookmarkStart w:id="0" w:name="_heading=h.gjdgxs" w:colFirst="0" w:colLast="0"/>
      <w:bookmarkEnd w:id="0"/>
      <w:r>
        <w:rPr>
          <w:rFonts w:ascii="Times New Roman" w:eastAsia="Times New Roman" w:hAnsi="Times New Roman" w:cs="Times New Roman"/>
          <w:i/>
          <w:sz w:val="21"/>
          <w:szCs w:val="21"/>
        </w:rPr>
        <w:t>Empresa consultora con experiencia acreditada de haber realizado como mínimo cinco (05) servicios en los últimos seis (06) años, por un monto mínimo total de S/. 700,000</w:t>
      </w:r>
      <w:r w:rsidR="001A1903">
        <w:rPr>
          <w:rFonts w:ascii="Times New Roman" w:eastAsia="Times New Roman" w:hAnsi="Times New Roman" w:cs="Times New Roman"/>
          <w:i/>
          <w:sz w:val="21"/>
          <w:szCs w:val="21"/>
        </w:rPr>
        <w:t>.00</w:t>
      </w:r>
      <w:r>
        <w:rPr>
          <w:rFonts w:ascii="Times New Roman" w:eastAsia="Times New Roman" w:hAnsi="Times New Roman" w:cs="Times New Roman"/>
          <w:i/>
          <w:sz w:val="21"/>
          <w:szCs w:val="21"/>
        </w:rPr>
        <w:t xml:space="preserve"> (</w:t>
      </w:r>
      <w:r w:rsidR="001A1903">
        <w:rPr>
          <w:rFonts w:ascii="Times New Roman" w:eastAsia="Times New Roman" w:hAnsi="Times New Roman" w:cs="Times New Roman"/>
          <w:i/>
          <w:sz w:val="21"/>
          <w:szCs w:val="21"/>
        </w:rPr>
        <w:t>S</w:t>
      </w:r>
      <w:r>
        <w:rPr>
          <w:rFonts w:ascii="Times New Roman" w:eastAsia="Times New Roman" w:hAnsi="Times New Roman" w:cs="Times New Roman"/>
          <w:i/>
          <w:sz w:val="21"/>
          <w:szCs w:val="21"/>
        </w:rPr>
        <w:t xml:space="preserve">etecientos mil con 00/000 soles), en cualquiera de los siguientes temas, en el sector público y/o privado: </w:t>
      </w:r>
    </w:p>
    <w:p w14:paraId="7CD2E26E" w14:textId="77777777" w:rsidR="00F65210" w:rsidRDefault="00F42701">
      <w:pPr>
        <w:numPr>
          <w:ilvl w:val="0"/>
          <w:numId w:val="2"/>
        </w:numPr>
        <w:pBdr>
          <w:top w:val="nil"/>
          <w:left w:val="nil"/>
          <w:bottom w:val="nil"/>
          <w:right w:val="nil"/>
          <w:between w:val="nil"/>
        </w:pBdr>
        <w:jc w:val="both"/>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 xml:space="preserve">Identificación de requerimientos funcionales y no funcionales y/o diseño de plataformas integradas de gestión y/o modelamiento de procesos y diagramas de flujo. </w:t>
      </w:r>
    </w:p>
    <w:p w14:paraId="41458681" w14:textId="77777777" w:rsidR="00F65210" w:rsidRDefault="00F42701">
      <w:pPr>
        <w:numPr>
          <w:ilvl w:val="0"/>
          <w:numId w:val="2"/>
        </w:numPr>
        <w:pBdr>
          <w:top w:val="nil"/>
          <w:left w:val="nil"/>
          <w:bottom w:val="nil"/>
          <w:right w:val="nil"/>
          <w:between w:val="nil"/>
        </w:pBdr>
        <w:jc w:val="both"/>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 xml:space="preserve">Proyectos de arquitectura de hardware y/o arquitectura de software y/o arquitectura de datos relacionada con la identificación y recolección de requisitos funcionales y no funcionales para plataformas de medios digitales integrados. </w:t>
      </w:r>
    </w:p>
    <w:p w14:paraId="2345D61C" w14:textId="77777777" w:rsidR="00F65210" w:rsidRDefault="00F42701">
      <w:pPr>
        <w:numPr>
          <w:ilvl w:val="0"/>
          <w:numId w:val="2"/>
        </w:numPr>
        <w:pBdr>
          <w:top w:val="nil"/>
          <w:left w:val="nil"/>
          <w:bottom w:val="nil"/>
          <w:right w:val="nil"/>
          <w:between w:val="nil"/>
        </w:pBdr>
        <w:jc w:val="both"/>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 xml:space="preserve">Proyectos de modelamiento, análisis, diseño y desarrollo de procesos de negocios con propuestas de mejora. </w:t>
      </w:r>
    </w:p>
    <w:p w14:paraId="4933C271" w14:textId="77777777" w:rsidR="00F65210" w:rsidRDefault="00F42701">
      <w:p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 xml:space="preserve">Deseable haber realizado al menos un (01) servicio vinculado a la gestión de proyectos de Ciencia, Tecnología, Innovación, Desarrollo Tecnológico o afines. </w:t>
      </w:r>
    </w:p>
    <w:p w14:paraId="61B753D2" w14:textId="77777777" w:rsidR="00F65210" w:rsidRDefault="00F65210">
      <w:pPr>
        <w:jc w:val="both"/>
        <w:rPr>
          <w:rFonts w:ascii="Times New Roman" w:eastAsia="Times New Roman" w:hAnsi="Times New Roman" w:cs="Times New Roman"/>
          <w:sz w:val="21"/>
          <w:szCs w:val="21"/>
        </w:rPr>
      </w:pPr>
    </w:p>
    <w:p w14:paraId="51179946" w14:textId="77777777" w:rsidR="00F65210" w:rsidRDefault="00F42701">
      <w:pPr>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Las firmas consultoras interesadas deben proporcionar información que demuestre que tienen las calificaciones requeridas y la experiencia relevante para prestar el servicio. Los Expertos Clave no serán evaluados en esta etapa.</w:t>
      </w:r>
      <w:r>
        <w:rPr>
          <w:rFonts w:ascii="Times New Roman" w:eastAsia="Times New Roman" w:hAnsi="Times New Roman" w:cs="Times New Roman"/>
          <w:sz w:val="24"/>
          <w:szCs w:val="24"/>
        </w:rPr>
        <w:t xml:space="preserve"> </w:t>
      </w:r>
    </w:p>
    <w:p w14:paraId="115FE12F" w14:textId="77777777" w:rsidR="00F65210" w:rsidRDefault="00F65210">
      <w:pPr>
        <w:jc w:val="both"/>
        <w:rPr>
          <w:rFonts w:ascii="Times New Roman" w:eastAsia="Times New Roman" w:hAnsi="Times New Roman" w:cs="Times New Roman"/>
          <w:sz w:val="21"/>
          <w:szCs w:val="21"/>
        </w:rPr>
      </w:pPr>
    </w:p>
    <w:p w14:paraId="264E77E1"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Para el efecto, deberán:</w:t>
      </w:r>
    </w:p>
    <w:p w14:paraId="2B59C83C" w14:textId="77777777" w:rsidR="00F65210" w:rsidRDefault="00F42701">
      <w:pPr>
        <w:widowControl/>
        <w:numPr>
          <w:ilvl w:val="0"/>
          <w:numId w:val="1"/>
        </w:num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Completar </w:t>
      </w:r>
      <w:r>
        <w:rPr>
          <w:rFonts w:ascii="Times New Roman" w:eastAsia="Times New Roman" w:hAnsi="Times New Roman" w:cs="Times New Roman"/>
          <w:b/>
          <w:color w:val="000000"/>
          <w:sz w:val="21"/>
          <w:szCs w:val="21"/>
        </w:rPr>
        <w:t>los formularios</w:t>
      </w:r>
      <w:r>
        <w:rPr>
          <w:rFonts w:ascii="Times New Roman" w:eastAsia="Times New Roman" w:hAnsi="Times New Roman" w:cs="Times New Roman"/>
          <w:color w:val="000000"/>
          <w:sz w:val="21"/>
          <w:szCs w:val="21"/>
        </w:rPr>
        <w:t xml:space="preserve"> disponibles en la página web antes indicada, en los cuales se registrará la información para la calificación de la firma. </w:t>
      </w:r>
    </w:p>
    <w:p w14:paraId="2E6362F1" w14:textId="77777777" w:rsidR="00F65210" w:rsidRDefault="00F42701">
      <w:pPr>
        <w:widowControl/>
        <w:numPr>
          <w:ilvl w:val="0"/>
          <w:numId w:val="1"/>
        </w:num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Adjuntar una breve presentación o folleto, de la firma o firmas en asociación.</w:t>
      </w:r>
    </w:p>
    <w:p w14:paraId="35D7736B" w14:textId="77777777" w:rsidR="00F65210" w:rsidRDefault="00F65210">
      <w:pPr>
        <w:jc w:val="both"/>
        <w:rPr>
          <w:rFonts w:ascii="Times New Roman" w:eastAsia="Times New Roman" w:hAnsi="Times New Roman" w:cs="Times New Roman"/>
          <w:sz w:val="21"/>
          <w:szCs w:val="21"/>
        </w:rPr>
      </w:pPr>
    </w:p>
    <w:p w14:paraId="2573AEBB"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Las firmas consultoras interesadas deben prestar atención a la política sobre conflicto de interés según la Sección III, numeral 3.14 al 3.17 de Regulaciones de Adquisiciones para Prestatarios en Proyectos de Inversión del Banco Mundial de noviembre de 2020 del Banco Mundial (“Regulaciones de Adquisiciones”) disponible en el siguiente enlace: </w:t>
      </w:r>
    </w:p>
    <w:p w14:paraId="6203141F" w14:textId="77777777" w:rsidR="00F65210" w:rsidRDefault="00F42701">
      <w:pPr>
        <w:jc w:val="both"/>
      </w:pPr>
      <w:hyperlink r:id="rId10">
        <w:r>
          <w:rPr>
            <w:rFonts w:ascii="Times New Roman" w:eastAsia="Times New Roman" w:hAnsi="Times New Roman" w:cs="Times New Roman"/>
            <w:color w:val="0000FF"/>
            <w:sz w:val="21"/>
            <w:szCs w:val="21"/>
            <w:u w:val="single"/>
          </w:rPr>
          <w:t>https://thedocs.worldbank.org/en/doc/3923eda9dc758af897b39c477ea5ed45-0290032020/original/Procurement-Regulations-for-IPF-Borrowers-SPANISH-November-2020.pdf</w:t>
        </w:r>
      </w:hyperlink>
    </w:p>
    <w:p w14:paraId="2B27E173" w14:textId="77777777" w:rsidR="00F65210" w:rsidRDefault="00F65210">
      <w:pPr>
        <w:jc w:val="both"/>
        <w:rPr>
          <w:rFonts w:ascii="Times New Roman" w:eastAsia="Times New Roman" w:hAnsi="Times New Roman" w:cs="Times New Roman"/>
          <w:sz w:val="21"/>
          <w:szCs w:val="21"/>
        </w:rPr>
      </w:pPr>
    </w:p>
    <w:p w14:paraId="10270D67" w14:textId="77777777" w:rsidR="001C76CD" w:rsidRDefault="001C76CD">
      <w:pPr>
        <w:jc w:val="both"/>
        <w:rPr>
          <w:rFonts w:ascii="Times New Roman" w:eastAsia="Times New Roman" w:hAnsi="Times New Roman" w:cs="Times New Roman"/>
          <w:sz w:val="21"/>
          <w:szCs w:val="21"/>
        </w:rPr>
      </w:pPr>
    </w:p>
    <w:p w14:paraId="5A5093DC" w14:textId="77777777" w:rsidR="001C76CD" w:rsidRDefault="001C76CD">
      <w:pPr>
        <w:jc w:val="both"/>
        <w:rPr>
          <w:rFonts w:ascii="Times New Roman" w:eastAsia="Times New Roman" w:hAnsi="Times New Roman" w:cs="Times New Roman"/>
          <w:sz w:val="21"/>
          <w:szCs w:val="21"/>
        </w:rPr>
      </w:pPr>
    </w:p>
    <w:p w14:paraId="3400B9BE" w14:textId="4539ED4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Para efectos de la decisión de manifestar interés, y de su eventual contrato. Las firmas consultoras interesadas deberán tener en cuenta las causales de Conflicto de Interés y Elegibilidad establecidas en las normas antes señaladas.</w:t>
      </w:r>
    </w:p>
    <w:p w14:paraId="1AE27402" w14:textId="77777777" w:rsidR="00F65210" w:rsidRDefault="00F65210">
      <w:pPr>
        <w:jc w:val="both"/>
        <w:rPr>
          <w:rFonts w:ascii="Times New Roman" w:eastAsia="Times New Roman" w:hAnsi="Times New Roman" w:cs="Times New Roman"/>
          <w:sz w:val="21"/>
          <w:szCs w:val="21"/>
        </w:rPr>
      </w:pPr>
    </w:p>
    <w:p w14:paraId="7C893D3A" w14:textId="77777777" w:rsidR="00F65210" w:rsidRDefault="00F42701">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Las firmas consultoras serán seleccionadas conforme a los procedimientos del método de Selección de Calificación de Consultores, establecido en las Regulaciones de Adquisiciones.</w:t>
      </w:r>
    </w:p>
    <w:p w14:paraId="37FEC55E" w14:textId="77777777" w:rsidR="00F65210" w:rsidRDefault="00F65210">
      <w:pPr>
        <w:jc w:val="both"/>
        <w:rPr>
          <w:rFonts w:ascii="Times New Roman" w:eastAsia="Times New Roman" w:hAnsi="Times New Roman" w:cs="Times New Roman"/>
          <w:sz w:val="21"/>
          <w:szCs w:val="21"/>
        </w:rPr>
      </w:pPr>
    </w:p>
    <w:p w14:paraId="43E6852F" w14:textId="77777777" w:rsidR="00F65210" w:rsidRDefault="00F42701">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Las firmas consultoras se podrán asociar con otras con el fin de mejorar sus calificaciones, debiendo indicar si es en asociación en participación (APCA) o subcontratistas. La nacionalidad de la firma corresponderá al país en que esté legalmente constituida. En caso de asociación en participación, será la nacionalidad de la firma designada como representante (deben especificar claramente la firma representante y su nacionalidad). Para subsidiarias o sucursales, se considerará la experiencia de la firma matriz. Si se presentan como asociación, la responsabilidad será solidaria y mancomunada.</w:t>
      </w:r>
    </w:p>
    <w:p w14:paraId="7D903456" w14:textId="77777777" w:rsidR="00F65210" w:rsidRDefault="00F65210">
      <w:pPr>
        <w:pBdr>
          <w:top w:val="nil"/>
          <w:left w:val="nil"/>
          <w:bottom w:val="nil"/>
          <w:right w:val="nil"/>
          <w:between w:val="nil"/>
        </w:pBdr>
        <w:jc w:val="both"/>
        <w:rPr>
          <w:rFonts w:ascii="Times New Roman" w:eastAsia="Times New Roman" w:hAnsi="Times New Roman" w:cs="Times New Roman"/>
          <w:color w:val="000000"/>
          <w:sz w:val="21"/>
          <w:szCs w:val="21"/>
        </w:rPr>
      </w:pPr>
    </w:p>
    <w:p w14:paraId="2034C666" w14:textId="22D63FA3" w:rsidR="00F65210" w:rsidRDefault="00F42701">
      <w:pPr>
        <w:pBdr>
          <w:top w:val="nil"/>
          <w:left w:val="nil"/>
          <w:bottom w:val="nil"/>
          <w:right w:val="nil"/>
          <w:between w:val="nil"/>
        </w:pBdr>
        <w:jc w:val="both"/>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 xml:space="preserve">Las </w:t>
      </w:r>
      <w:r>
        <w:rPr>
          <w:rFonts w:ascii="Times New Roman" w:eastAsia="Times New Roman" w:hAnsi="Times New Roman" w:cs="Times New Roman"/>
          <w:sz w:val="21"/>
          <w:szCs w:val="21"/>
        </w:rPr>
        <w:t>expresiones de interés y consultas deberán ser remitidas al correo electrónico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b/>
          <w:sz w:val="21"/>
          <w:szCs w:val="21"/>
        </w:rPr>
        <w:t>consultorias-firmas@prociencia.gob.pe</w:t>
      </w:r>
      <w:r>
        <w:rPr>
          <w:rFonts w:ascii="Times New Roman" w:eastAsia="Times New Roman" w:hAnsi="Times New Roman" w:cs="Times New Roman"/>
          <w:color w:val="000000"/>
          <w:sz w:val="21"/>
          <w:szCs w:val="21"/>
        </w:rPr>
        <w:t xml:space="preserve"> a </w:t>
      </w:r>
      <w:r>
        <w:rPr>
          <w:rFonts w:ascii="Times New Roman" w:eastAsia="Times New Roman" w:hAnsi="Times New Roman" w:cs="Times New Roman"/>
          <w:sz w:val="21"/>
          <w:szCs w:val="21"/>
        </w:rPr>
        <w:t>más</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sz w:val="21"/>
          <w:szCs w:val="21"/>
        </w:rPr>
        <w:t>tardar</w:t>
      </w:r>
      <w:r>
        <w:rPr>
          <w:rFonts w:ascii="Times New Roman" w:eastAsia="Times New Roman" w:hAnsi="Times New Roman" w:cs="Times New Roman"/>
          <w:color w:val="000000"/>
          <w:sz w:val="21"/>
          <w:szCs w:val="21"/>
        </w:rPr>
        <w:t xml:space="preserve"> el </w:t>
      </w:r>
      <w:r>
        <w:rPr>
          <w:rFonts w:ascii="Times New Roman" w:eastAsia="Times New Roman" w:hAnsi="Times New Roman" w:cs="Times New Roman"/>
          <w:b/>
          <w:color w:val="0000CC"/>
          <w:sz w:val="21"/>
          <w:szCs w:val="21"/>
        </w:rPr>
        <w:t xml:space="preserve">23 de </w:t>
      </w:r>
      <w:r w:rsidR="00B53806">
        <w:rPr>
          <w:rFonts w:ascii="Times New Roman" w:eastAsia="Times New Roman" w:hAnsi="Times New Roman" w:cs="Times New Roman"/>
          <w:b/>
          <w:color w:val="0000CC"/>
          <w:sz w:val="21"/>
          <w:szCs w:val="21"/>
        </w:rPr>
        <w:t>marzo</w:t>
      </w:r>
      <w:r>
        <w:rPr>
          <w:rFonts w:ascii="Times New Roman" w:eastAsia="Times New Roman" w:hAnsi="Times New Roman" w:cs="Times New Roman"/>
          <w:b/>
          <w:color w:val="0000CC"/>
          <w:sz w:val="21"/>
          <w:szCs w:val="21"/>
        </w:rPr>
        <w:t xml:space="preserve"> de 2025.</w:t>
      </w:r>
    </w:p>
    <w:p w14:paraId="23ABF3F9" w14:textId="77777777" w:rsidR="00F65210" w:rsidRDefault="00F65210">
      <w:pPr>
        <w:rPr>
          <w:rFonts w:ascii="Times New Roman" w:eastAsia="Times New Roman" w:hAnsi="Times New Roman" w:cs="Times New Roman"/>
          <w:i/>
          <w:sz w:val="21"/>
          <w:szCs w:val="21"/>
        </w:rPr>
      </w:pPr>
    </w:p>
    <w:p w14:paraId="16BB64C9" w14:textId="77777777" w:rsidR="00F65210" w:rsidRDefault="00F65210">
      <w:pPr>
        <w:rPr>
          <w:rFonts w:ascii="Times New Roman" w:eastAsia="Times New Roman" w:hAnsi="Times New Roman" w:cs="Times New Roman"/>
          <w:i/>
          <w:sz w:val="21"/>
          <w:szCs w:val="21"/>
        </w:rPr>
      </w:pPr>
    </w:p>
    <w:p w14:paraId="2E1637E1" w14:textId="77777777" w:rsidR="00F65210" w:rsidRDefault="00F42701">
      <w:pPr>
        <w:rPr>
          <w:rFonts w:ascii="Times New Roman" w:eastAsia="Times New Roman" w:hAnsi="Times New Roman" w:cs="Times New Roman"/>
          <w:b/>
          <w:color w:val="0000CC"/>
          <w:sz w:val="21"/>
          <w:szCs w:val="21"/>
        </w:rPr>
      </w:pPr>
      <w:r>
        <w:rPr>
          <w:rFonts w:ascii="Times New Roman" w:eastAsia="Times New Roman" w:hAnsi="Times New Roman" w:cs="Times New Roman"/>
          <w:i/>
          <w:sz w:val="21"/>
          <w:szCs w:val="21"/>
        </w:rPr>
        <w:t>Atención a: Comité de evaluación de adquisiciones</w:t>
      </w:r>
    </w:p>
    <w:p w14:paraId="256A89CF" w14:textId="77777777" w:rsidR="00F65210" w:rsidRDefault="00F42701">
      <w:pPr>
        <w:pBdr>
          <w:top w:val="nil"/>
          <w:left w:val="nil"/>
          <w:bottom w:val="nil"/>
          <w:right w:val="nil"/>
          <w:between w:val="nil"/>
        </w:pBdr>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Programa Nacional de Investigación Científica y Estudios Avanzados (PROCIENCIA)</w:t>
      </w:r>
    </w:p>
    <w:p w14:paraId="0335803A" w14:textId="77777777" w:rsidR="00F65210" w:rsidRDefault="00F42701">
      <w:pPr>
        <w:rPr>
          <w:rFonts w:ascii="Times New Roman" w:eastAsia="Times New Roman" w:hAnsi="Times New Roman" w:cs="Times New Roman"/>
          <w:i/>
          <w:sz w:val="21"/>
          <w:szCs w:val="21"/>
        </w:rPr>
      </w:pPr>
      <w:r>
        <w:rPr>
          <w:rFonts w:ascii="Times New Roman" w:eastAsia="Times New Roman" w:hAnsi="Times New Roman" w:cs="Times New Roman"/>
          <w:i/>
          <w:sz w:val="21"/>
          <w:szCs w:val="21"/>
        </w:rPr>
        <w:t>Proyecto “Mejoramiento y Ampliación de los Servicios de Ciencia Tecnología e Innovación CTI para fortalecer el Sistema Nacional de Ciencia, Tecnología e Innovación</w:t>
      </w:r>
    </w:p>
    <w:p w14:paraId="3684E320" w14:textId="77777777" w:rsidR="00F65210" w:rsidRDefault="00F42701">
      <w:pPr>
        <w:rPr>
          <w:rFonts w:ascii="Times New Roman" w:eastAsia="Times New Roman" w:hAnsi="Times New Roman" w:cs="Times New Roman"/>
          <w:sz w:val="18"/>
          <w:szCs w:val="18"/>
        </w:rPr>
      </w:pPr>
      <w:r>
        <w:rPr>
          <w:rFonts w:ascii="Times New Roman" w:eastAsia="Times New Roman" w:hAnsi="Times New Roman" w:cs="Times New Roman"/>
          <w:sz w:val="21"/>
          <w:szCs w:val="21"/>
        </w:rPr>
        <w:t xml:space="preserve">Dirección de PROCIENCIA: Calle Doménico Morelli </w:t>
      </w:r>
      <w:proofErr w:type="spellStart"/>
      <w:r>
        <w:rPr>
          <w:rFonts w:ascii="Times New Roman" w:eastAsia="Times New Roman" w:hAnsi="Times New Roman" w:cs="Times New Roman"/>
          <w:sz w:val="21"/>
          <w:szCs w:val="21"/>
        </w:rPr>
        <w:t>Nro</w:t>
      </w:r>
      <w:proofErr w:type="spellEnd"/>
      <w:r>
        <w:rPr>
          <w:rFonts w:ascii="Times New Roman" w:eastAsia="Times New Roman" w:hAnsi="Times New Roman" w:cs="Times New Roman"/>
          <w:sz w:val="21"/>
          <w:szCs w:val="21"/>
        </w:rPr>
        <w:t xml:space="preserve"> 150 Piso 9, San</w:t>
      </w:r>
      <w:r>
        <w:rPr>
          <w:rFonts w:ascii="Times New Roman" w:eastAsia="Times New Roman" w:hAnsi="Times New Roman" w:cs="Times New Roman"/>
          <w:sz w:val="18"/>
          <w:szCs w:val="18"/>
        </w:rPr>
        <w:t xml:space="preserve"> Borja</w:t>
      </w:r>
    </w:p>
    <w:p w14:paraId="230A02FE" w14:textId="77777777" w:rsidR="00F65210" w:rsidRDefault="00F65210">
      <w:pPr>
        <w:rPr>
          <w:rFonts w:ascii="Times New Roman" w:eastAsia="Times New Roman" w:hAnsi="Times New Roman" w:cs="Times New Roman"/>
          <w:sz w:val="18"/>
          <w:szCs w:val="18"/>
        </w:rPr>
      </w:pPr>
    </w:p>
    <w:sectPr w:rsidR="00F65210">
      <w:headerReference w:type="default" r:id="rId11"/>
      <w:pgSz w:w="11910" w:h="16840"/>
      <w:pgMar w:top="561" w:right="1474" w:bottom="1134" w:left="1531"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180F7" w14:textId="77777777" w:rsidR="00987A70" w:rsidRDefault="00987A70">
      <w:r>
        <w:separator/>
      </w:r>
    </w:p>
  </w:endnote>
  <w:endnote w:type="continuationSeparator" w:id="0">
    <w:p w14:paraId="73403E71" w14:textId="77777777" w:rsidR="00987A70" w:rsidRDefault="0098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8C11215A-927F-417C-897F-354F0A9F64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0863E68F-5989-4C86-A92B-7504EB894EA5}"/>
  </w:font>
  <w:font w:name="Tahoma">
    <w:panose1 w:val="020B0604030504040204"/>
    <w:charset w:val="00"/>
    <w:family w:val="swiss"/>
    <w:pitch w:val="variable"/>
    <w:sig w:usb0="E1002EFF" w:usb1="C000605B" w:usb2="00000029" w:usb3="00000000" w:csb0="000101FF" w:csb1="00000000"/>
    <w:embedRegular r:id="rId3" w:fontKey="{AB80C29C-0039-415D-B4F2-600FE8CFB65D}"/>
  </w:font>
  <w:font w:name="Georgia">
    <w:panose1 w:val="02040502050405020303"/>
    <w:charset w:val="00"/>
    <w:family w:val="roman"/>
    <w:pitch w:val="variable"/>
    <w:sig w:usb0="00000287" w:usb1="00000000" w:usb2="00000000" w:usb3="00000000" w:csb0="0000009F" w:csb1="00000000"/>
    <w:embedRegular r:id="rId4" w:fontKey="{D3144BA7-E4F3-43D8-AE4C-30B8A08BF7FC}"/>
    <w:embedItalic r:id="rId5" w:fontKey="{51A6F1B5-FA4C-4670-9857-12E8DF5FE9EC}"/>
  </w:font>
  <w:font w:name="Cambria">
    <w:panose1 w:val="02040503050406030204"/>
    <w:charset w:val="00"/>
    <w:family w:val="roman"/>
    <w:pitch w:val="variable"/>
    <w:sig w:usb0="E00006FF" w:usb1="420024FF" w:usb2="02000000" w:usb3="00000000" w:csb0="0000019F" w:csb1="00000000"/>
    <w:embedRegular r:id="rId6" w:fontKey="{A75A41FF-A226-41F1-B6AF-BD3E824B22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27E06" w14:textId="77777777" w:rsidR="00987A70" w:rsidRDefault="00987A70">
      <w:r>
        <w:separator/>
      </w:r>
    </w:p>
  </w:footnote>
  <w:footnote w:type="continuationSeparator" w:id="0">
    <w:p w14:paraId="2F881724" w14:textId="77777777" w:rsidR="00987A70" w:rsidRDefault="0098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ACD0" w14:textId="77777777" w:rsidR="00F65210" w:rsidRDefault="00F42701">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w:drawing>
        <wp:inline distT="0" distB="0" distL="0" distR="0" wp14:anchorId="5B9024BB" wp14:editId="43DDFF16">
          <wp:extent cx="5824748" cy="518489"/>
          <wp:effectExtent l="0" t="0" r="0" b="0"/>
          <wp:docPr id="6817183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4748" cy="518489"/>
                  </a:xfrm>
                  <a:prstGeom prst="rect">
                    <a:avLst/>
                  </a:prstGeom>
                  <a:ln/>
                </pic:spPr>
              </pic:pic>
            </a:graphicData>
          </a:graphic>
        </wp:inline>
      </w:drawing>
    </w:r>
  </w:p>
  <w:p w14:paraId="5A687F3A" w14:textId="77777777" w:rsidR="00F65210" w:rsidRDefault="00F65210">
    <w:pPr>
      <w:pBdr>
        <w:top w:val="nil"/>
        <w:left w:val="nil"/>
        <w:bottom w:val="nil"/>
        <w:right w:val="nil"/>
        <w:between w:val="nil"/>
      </w:pBdr>
      <w:tabs>
        <w:tab w:val="center" w:pos="4252"/>
        <w:tab w:val="right" w:pos="8504"/>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B4C3D"/>
    <w:multiLevelType w:val="multilevel"/>
    <w:tmpl w:val="FAF04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23628E"/>
    <w:multiLevelType w:val="multilevel"/>
    <w:tmpl w:val="72E8946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4697632">
    <w:abstractNumId w:val="1"/>
  </w:num>
  <w:num w:numId="2" w16cid:durableId="569581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210"/>
    <w:rsid w:val="001A1903"/>
    <w:rsid w:val="001C76CD"/>
    <w:rsid w:val="00292AC6"/>
    <w:rsid w:val="00675D4D"/>
    <w:rsid w:val="00987A70"/>
    <w:rsid w:val="00B53806"/>
    <w:rsid w:val="00E36DA1"/>
    <w:rsid w:val="00EF066E"/>
    <w:rsid w:val="00F42701"/>
    <w:rsid w:val="00F6521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496D3"/>
  <w15:docId w15:val="{051FB2FF-472B-47D1-8E5A-06005498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uiPriority w:val="9"/>
    <w:qFormat/>
    <w:pPr>
      <w:ind w:left="102"/>
      <w:jc w:val="both"/>
      <w:outlineLvl w:val="0"/>
    </w:pPr>
    <w:rPr>
      <w:rFonts w:ascii="Arial" w:eastAsia="Arial" w:hAnsi="Arial" w:cs="Arial"/>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FE5906"/>
    <w:rPr>
      <w:color w:val="0000FF" w:themeColor="hyperlink"/>
      <w:u w:val="single"/>
    </w:rPr>
  </w:style>
  <w:style w:type="paragraph" w:styleId="NormalWeb">
    <w:name w:val="Normal (Web)"/>
    <w:basedOn w:val="Normal"/>
    <w:uiPriority w:val="99"/>
    <w:semiHidden/>
    <w:unhideWhenUsed/>
    <w:rsid w:val="00FE5906"/>
    <w:pPr>
      <w:widowControl/>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FE5906"/>
    <w:pPr>
      <w:widowControl/>
      <w:adjustRightInd w:val="0"/>
    </w:pPr>
    <w:rPr>
      <w:rFonts w:ascii="Calibri" w:hAnsi="Calibri" w:cs="Calibri"/>
      <w:color w:val="000000"/>
      <w:sz w:val="24"/>
      <w:szCs w:val="24"/>
      <w:lang w:val="es-PE"/>
    </w:rPr>
  </w:style>
  <w:style w:type="paragraph" w:styleId="Encabezado">
    <w:name w:val="header"/>
    <w:basedOn w:val="Normal"/>
    <w:link w:val="EncabezadoCar"/>
    <w:uiPriority w:val="99"/>
    <w:unhideWhenUsed/>
    <w:rsid w:val="007D75F6"/>
    <w:pPr>
      <w:tabs>
        <w:tab w:val="center" w:pos="4252"/>
        <w:tab w:val="right" w:pos="8504"/>
      </w:tabs>
    </w:pPr>
  </w:style>
  <w:style w:type="character" w:customStyle="1" w:styleId="EncabezadoCar">
    <w:name w:val="Encabezado Car"/>
    <w:basedOn w:val="Fuentedeprrafopredeter"/>
    <w:link w:val="Encabezado"/>
    <w:uiPriority w:val="99"/>
    <w:rsid w:val="007D75F6"/>
    <w:rPr>
      <w:rFonts w:ascii="Arial MT" w:eastAsia="Arial MT" w:hAnsi="Arial MT" w:cs="Arial MT"/>
      <w:lang w:val="es-ES"/>
    </w:rPr>
  </w:style>
  <w:style w:type="paragraph" w:styleId="Piedepgina">
    <w:name w:val="footer"/>
    <w:basedOn w:val="Normal"/>
    <w:link w:val="PiedepginaCar"/>
    <w:uiPriority w:val="99"/>
    <w:unhideWhenUsed/>
    <w:rsid w:val="007D75F6"/>
    <w:pPr>
      <w:tabs>
        <w:tab w:val="center" w:pos="4252"/>
        <w:tab w:val="right" w:pos="8504"/>
      </w:tabs>
    </w:pPr>
  </w:style>
  <w:style w:type="character" w:customStyle="1" w:styleId="PiedepginaCar">
    <w:name w:val="Pie de página Car"/>
    <w:basedOn w:val="Fuentedeprrafopredeter"/>
    <w:link w:val="Piedepgina"/>
    <w:uiPriority w:val="99"/>
    <w:rsid w:val="007D75F6"/>
    <w:rPr>
      <w:rFonts w:ascii="Arial MT" w:eastAsia="Arial MT" w:hAnsi="Arial MT" w:cs="Arial MT"/>
      <w:lang w:val="es-ES"/>
    </w:rPr>
  </w:style>
  <w:style w:type="character" w:customStyle="1" w:styleId="Mencinsinresolver1">
    <w:name w:val="Mención sin resolver1"/>
    <w:basedOn w:val="Fuentedeprrafopredeter"/>
    <w:uiPriority w:val="99"/>
    <w:semiHidden/>
    <w:unhideWhenUsed/>
    <w:rsid w:val="000B6E1C"/>
    <w:rPr>
      <w:color w:val="605E5C"/>
      <w:shd w:val="clear" w:color="auto" w:fill="E1DFDD"/>
    </w:rPr>
  </w:style>
  <w:style w:type="paragraph" w:styleId="Textodeglobo">
    <w:name w:val="Balloon Text"/>
    <w:basedOn w:val="Normal"/>
    <w:link w:val="TextodegloboCar"/>
    <w:uiPriority w:val="99"/>
    <w:semiHidden/>
    <w:unhideWhenUsed/>
    <w:rsid w:val="00B81BB0"/>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BB0"/>
    <w:rPr>
      <w:rFonts w:ascii="Tahoma" w:eastAsia="Arial MT" w:hAnsi="Tahoma" w:cs="Tahoma"/>
      <w:sz w:val="16"/>
      <w:szCs w:val="16"/>
      <w:lang w:val="es-ES"/>
    </w:rPr>
  </w:style>
  <w:style w:type="character" w:styleId="Refdecomentario">
    <w:name w:val="annotation reference"/>
    <w:basedOn w:val="Fuentedeprrafopredeter"/>
    <w:uiPriority w:val="99"/>
    <w:semiHidden/>
    <w:unhideWhenUsed/>
    <w:rsid w:val="00CE770C"/>
    <w:rPr>
      <w:sz w:val="16"/>
      <w:szCs w:val="16"/>
    </w:rPr>
  </w:style>
  <w:style w:type="paragraph" w:styleId="Textocomentario">
    <w:name w:val="annotation text"/>
    <w:basedOn w:val="Normal"/>
    <w:link w:val="TextocomentarioCar"/>
    <w:uiPriority w:val="99"/>
    <w:unhideWhenUsed/>
    <w:rsid w:val="00CE770C"/>
    <w:rPr>
      <w:sz w:val="20"/>
      <w:szCs w:val="20"/>
    </w:rPr>
  </w:style>
  <w:style w:type="character" w:customStyle="1" w:styleId="TextocomentarioCar">
    <w:name w:val="Texto comentario Car"/>
    <w:basedOn w:val="Fuentedeprrafopredeter"/>
    <w:link w:val="Textocomentario"/>
    <w:uiPriority w:val="99"/>
    <w:rsid w:val="00CE770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CE770C"/>
    <w:rPr>
      <w:b/>
      <w:bCs/>
    </w:rPr>
  </w:style>
  <w:style w:type="character" w:customStyle="1" w:styleId="AsuntodelcomentarioCar">
    <w:name w:val="Asunto del comentario Car"/>
    <w:basedOn w:val="TextocomentarioCar"/>
    <w:link w:val="Asuntodelcomentario"/>
    <w:uiPriority w:val="99"/>
    <w:semiHidden/>
    <w:rsid w:val="00CE770C"/>
    <w:rPr>
      <w:rFonts w:ascii="Arial MT" w:eastAsia="Arial MT" w:hAnsi="Arial MT" w:cs="Arial MT"/>
      <w:b/>
      <w:bCs/>
      <w:sz w:val="20"/>
      <w:szCs w:val="20"/>
      <w:lang w:val="es-ES"/>
    </w:rPr>
  </w:style>
  <w:style w:type="character" w:styleId="Hipervnculovisitado">
    <w:name w:val="FollowedHyperlink"/>
    <w:basedOn w:val="Fuentedeprrafopredeter"/>
    <w:uiPriority w:val="99"/>
    <w:semiHidden/>
    <w:unhideWhenUsed/>
    <w:rsid w:val="004D35F0"/>
    <w:rPr>
      <w:color w:val="800080" w:themeColor="followedHyperlink"/>
      <w:u w:val="single"/>
    </w:rPr>
  </w:style>
  <w:style w:type="character" w:styleId="Mencinsinresolver">
    <w:name w:val="Unresolved Mention"/>
    <w:basedOn w:val="Fuentedeprrafopredeter"/>
    <w:uiPriority w:val="99"/>
    <w:semiHidden/>
    <w:unhideWhenUsed/>
    <w:rsid w:val="009B5946"/>
    <w:rPr>
      <w:color w:val="605E5C"/>
      <w:shd w:val="clear" w:color="auto" w:fill="E1DFDD"/>
    </w:rPr>
  </w:style>
  <w:style w:type="paragraph" w:styleId="Revisin">
    <w:name w:val="Revision"/>
    <w:hidden/>
    <w:uiPriority w:val="99"/>
    <w:semiHidden/>
    <w:rsid w:val="00D040EB"/>
    <w:pPr>
      <w:widowControl/>
    </w:pPr>
    <w:rPr>
      <w:rFonts w:ascii="Arial MT" w:eastAsia="Arial MT" w:hAnsi="Arial MT" w:cs="Arial M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ciencia.gob.pe/expresiones-de-inte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hedocs.worldbank.org/en/doc/3923eda9dc758af897b39c477ea5ed45-0290032020/original/Procurement-Regulations-for-IPF-Borrowers-SPANISH-November-2020.pdf" TargetMode="External"/><Relationship Id="rId4" Type="http://schemas.openxmlformats.org/officeDocument/2006/relationships/settings" Target="settings.xml"/><Relationship Id="rId9" Type="http://schemas.openxmlformats.org/officeDocument/2006/relationships/hyperlink" Target="https://prociencia.gob.pe/expresiones-de-inte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6QWICwJP1xkkZe/bFqeA5oPBQ==">CgMxLjAyCGguZ2pkZ3hzOAByITFfNGlQQmJ5OUZyUWo0YjI1cXY5bGhiSWt3aUFJVTRBdQ==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861</Words>
  <Characters>4741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Esther Valenzuela Lazo</dc:creator>
  <cp:lastModifiedBy>Proyecto 01</cp:lastModifiedBy>
  <cp:revision>5</cp:revision>
  <dcterms:created xsi:type="dcterms:W3CDTF">2025-03-07T20:12:00Z</dcterms:created>
  <dcterms:modified xsi:type="dcterms:W3CDTF">2025-03-08T19:30:00Z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2024-07-11T00:00:00Z</vt:filetime>
  </property>
  <property fmtid="{D5CDD505-2E9C-101B-9397-08002B2CF9AE}" pid="3" name="Creator">
    <vt:lpwstr>Microsoft® Word 2019</vt:lpwstr>
  </property>
  <property fmtid="{D5CDD505-2E9C-101B-9397-08002B2CF9AE}" pid="4" name="LastSaved">
    <vt:filetime>2024-08-13T00:00:00Z</vt:filetime>
  </property>
</Properties>
</file>