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16C38CA0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5065D653" w14:textId="4BEDBE3D" w:rsidR="00EF7214" w:rsidRPr="00EF7214" w:rsidRDefault="00EF7214" w:rsidP="00EF721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808080"/>
          <w:sz w:val="20"/>
          <w:szCs w:val="21"/>
          <w:lang w:eastAsia="es-ES"/>
        </w:rPr>
      </w:pP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</w:t>
      </w:r>
      <w:r w:rsidR="00C82545" w:rsidRPr="00C82545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Año del Bicentenario, de la consolidación de nuestra Independencia, y de la conmemoración de las Heroicas Batallas de Junín y Ayacucho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5DBC1FC" w14:textId="3A45B079" w:rsidR="00EF7214" w:rsidRPr="007F7BA6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7F7BA6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Consultoría Individual: </w:t>
      </w:r>
      <w:r w:rsidR="007F7BA6" w:rsidRPr="007F7BA6">
        <w:rPr>
          <w:rFonts w:asciiTheme="majorHAnsi" w:hAnsiTheme="majorHAnsi" w:cstheme="majorHAnsi"/>
          <w:b/>
          <w:bCs/>
          <w:sz w:val="20"/>
          <w:szCs w:val="20"/>
          <w:lang w:val="es-ES"/>
        </w:rPr>
        <w:t>Monitor Financiero para la Supervisión de las Actividades para el Desarrollo de las Tecnología</w:t>
      </w:r>
      <w:r w:rsidR="007F7BA6" w:rsidRPr="007F7BA6">
        <w:rPr>
          <w:rFonts w:asciiTheme="majorHAnsi" w:hAnsiTheme="majorHAnsi" w:cstheme="majorHAnsi"/>
          <w:b/>
          <w:bCs/>
          <w:sz w:val="20"/>
          <w:szCs w:val="20"/>
          <w:lang w:val="es-ES"/>
        </w:rPr>
        <w:t>s</w:t>
      </w: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</w:t>
      </w:r>
      <w:proofErr w:type="spellStart"/>
      <w:r w:rsidRPr="00EF7214">
        <w:rPr>
          <w:rFonts w:asciiTheme="majorHAnsi" w:hAnsiTheme="majorHAnsi" w:cstheme="majorHAnsi"/>
          <w:b/>
          <w:bCs/>
          <w:sz w:val="20"/>
          <w:szCs w:val="20"/>
        </w:rPr>
        <w:t>N°</w:t>
      </w:r>
      <w:proofErr w:type="spellEnd"/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4C4C8AF4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C82545">
        <w:rPr>
          <w:rFonts w:asciiTheme="majorHAnsi" w:hAnsiTheme="majorHAnsi" w:cstheme="majorHAnsi"/>
          <w:b/>
          <w:bCs/>
          <w:sz w:val="20"/>
          <w:szCs w:val="20"/>
        </w:rPr>
        <w:t>404</w:t>
      </w:r>
      <w:r w:rsidR="007F7BA6">
        <w:rPr>
          <w:rFonts w:asciiTheme="majorHAnsi" w:hAnsiTheme="majorHAnsi" w:cstheme="majorHAnsi"/>
          <w:b/>
          <w:bCs/>
          <w:sz w:val="20"/>
          <w:szCs w:val="20"/>
        </w:rPr>
        <w:t>577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905AAA">
        <w:rPr>
          <w:rFonts w:asciiTheme="majorHAnsi" w:hAnsiTheme="majorHAnsi" w:cstheme="majorHAnsi"/>
          <w:b/>
          <w:bCs/>
          <w:sz w:val="20"/>
          <w:szCs w:val="20"/>
        </w:rPr>
        <w:t>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19B78C4C" w:rsidR="006512E0" w:rsidRPr="00396919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para el </w:t>
      </w:r>
      <w:r w:rsidR="00255794" w:rsidRPr="00396919">
        <w:rPr>
          <w:rFonts w:asciiTheme="majorHAnsi" w:hAnsiTheme="majorHAnsi" w:cstheme="majorHAnsi"/>
          <w:sz w:val="20"/>
          <w:szCs w:val="20"/>
        </w:rPr>
        <w:t xml:space="preserve">proceso de selección </w:t>
      </w:r>
      <w:r w:rsidR="00EF7214" w:rsidRPr="00396919">
        <w:rPr>
          <w:rFonts w:asciiTheme="majorHAnsi" w:hAnsiTheme="majorHAnsi" w:cstheme="majorHAnsi"/>
          <w:sz w:val="20"/>
          <w:szCs w:val="20"/>
        </w:rPr>
        <w:t>de un profesional para la Consultoría Individual “</w:t>
      </w:r>
      <w:r w:rsidR="007F7BA6" w:rsidRPr="007F7BA6">
        <w:rPr>
          <w:rFonts w:asciiTheme="majorHAnsi" w:hAnsiTheme="majorHAnsi" w:cstheme="majorHAnsi"/>
          <w:sz w:val="20"/>
          <w:szCs w:val="20"/>
        </w:rPr>
        <w:t>Monitor Financiero para la Supervisión de las Actividades para el Desarrollo de las Tecnologías</w:t>
      </w:r>
      <w:r w:rsidR="00EF7214" w:rsidRPr="00396919">
        <w:rPr>
          <w:rFonts w:asciiTheme="majorHAnsi" w:hAnsiTheme="majorHAnsi" w:cstheme="majorHAnsi"/>
          <w:sz w:val="20"/>
          <w:szCs w:val="20"/>
        </w:rPr>
        <w:t>”</w:t>
      </w:r>
      <w:r w:rsidR="00A81AE4" w:rsidRPr="00396919">
        <w:rPr>
          <w:rFonts w:asciiTheme="majorHAnsi" w:hAnsiTheme="majorHAnsi" w:cstheme="majorHAnsi"/>
          <w:sz w:val="20"/>
          <w:szCs w:val="20"/>
        </w:rPr>
        <w:t>,</w:t>
      </w:r>
      <w:r w:rsidR="00D13CCA">
        <w:rPr>
          <w:rFonts w:asciiTheme="majorHAnsi" w:hAnsiTheme="majorHAnsi" w:cstheme="majorHAnsi"/>
          <w:sz w:val="20"/>
          <w:szCs w:val="20"/>
        </w:rPr>
        <w:t xml:space="preserve"> habiéndose adjudicado a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34ABAEEE" w:rsidR="00396919" w:rsidRPr="00396919" w:rsidRDefault="007F7BA6" w:rsidP="00C82545">
      <w:pPr>
        <w:pStyle w:val="Default"/>
        <w:numPr>
          <w:ilvl w:val="0"/>
          <w:numId w:val="15"/>
        </w:numPr>
        <w:ind w:hanging="1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auto"/>
          <w:sz w:val="20"/>
          <w:szCs w:val="20"/>
        </w:rPr>
        <w:t>Pilar Mirtha Almidón Chauca</w:t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000000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A67CB"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 w:rsidR="00BA67C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A827F1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17D9" w14:textId="77777777" w:rsidR="009D3FD8" w:rsidRDefault="009D3FD8" w:rsidP="00CE4044">
      <w:pPr>
        <w:spacing w:after="0" w:line="240" w:lineRule="auto"/>
      </w:pPr>
      <w:r>
        <w:separator/>
      </w:r>
    </w:p>
  </w:endnote>
  <w:endnote w:type="continuationSeparator" w:id="0">
    <w:p w14:paraId="1BD1E41C" w14:textId="77777777" w:rsidR="009D3FD8" w:rsidRDefault="009D3FD8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488A" w14:textId="77777777" w:rsidR="009D3FD8" w:rsidRDefault="009D3FD8" w:rsidP="00CE4044">
      <w:pPr>
        <w:spacing w:after="0" w:line="240" w:lineRule="auto"/>
      </w:pPr>
      <w:r>
        <w:separator/>
      </w:r>
    </w:p>
  </w:footnote>
  <w:footnote w:type="continuationSeparator" w:id="0">
    <w:p w14:paraId="10F99B27" w14:textId="77777777" w:rsidR="009D3FD8" w:rsidRDefault="009D3FD8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276"/>
    <w:multiLevelType w:val="hybridMultilevel"/>
    <w:tmpl w:val="D5A6C1CE"/>
    <w:lvl w:ilvl="0" w:tplc="2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21">
    <w:abstractNumId w:val="13"/>
  </w:num>
  <w:num w:numId="2" w16cid:durableId="1146553685">
    <w:abstractNumId w:val="14"/>
  </w:num>
  <w:num w:numId="3" w16cid:durableId="1178543716">
    <w:abstractNumId w:val="5"/>
  </w:num>
  <w:num w:numId="4" w16cid:durableId="1510215167">
    <w:abstractNumId w:val="1"/>
  </w:num>
  <w:num w:numId="5" w16cid:durableId="484051226">
    <w:abstractNumId w:val="3"/>
  </w:num>
  <w:num w:numId="6" w16cid:durableId="967399985">
    <w:abstractNumId w:val="12"/>
  </w:num>
  <w:num w:numId="7" w16cid:durableId="1146628736">
    <w:abstractNumId w:val="10"/>
  </w:num>
  <w:num w:numId="8" w16cid:durableId="858928712">
    <w:abstractNumId w:val="9"/>
  </w:num>
  <w:num w:numId="9" w16cid:durableId="905460838">
    <w:abstractNumId w:val="2"/>
  </w:num>
  <w:num w:numId="10" w16cid:durableId="536432675">
    <w:abstractNumId w:val="7"/>
  </w:num>
  <w:num w:numId="11" w16cid:durableId="83844634">
    <w:abstractNumId w:val="0"/>
  </w:num>
  <w:num w:numId="12" w16cid:durableId="201402836">
    <w:abstractNumId w:val="4"/>
  </w:num>
  <w:num w:numId="13" w16cid:durableId="779298301">
    <w:abstractNumId w:val="11"/>
  </w:num>
  <w:num w:numId="14" w16cid:durableId="500514143">
    <w:abstractNumId w:val="6"/>
  </w:num>
  <w:num w:numId="15" w16cid:durableId="37874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134BC0"/>
    <w:rsid w:val="00140B80"/>
    <w:rsid w:val="001E1FB6"/>
    <w:rsid w:val="001E2A3F"/>
    <w:rsid w:val="001E5D36"/>
    <w:rsid w:val="001F3429"/>
    <w:rsid w:val="002547B9"/>
    <w:rsid w:val="00255794"/>
    <w:rsid w:val="00270A5E"/>
    <w:rsid w:val="002B0424"/>
    <w:rsid w:val="002B3833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B1C2D"/>
    <w:rsid w:val="005D20E4"/>
    <w:rsid w:val="005D3863"/>
    <w:rsid w:val="0060536D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A2980"/>
    <w:rsid w:val="006B31BB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D21CB"/>
    <w:rsid w:val="007D2F8D"/>
    <w:rsid w:val="007D34B6"/>
    <w:rsid w:val="007F7BA6"/>
    <w:rsid w:val="00850F64"/>
    <w:rsid w:val="008553FF"/>
    <w:rsid w:val="00875FC8"/>
    <w:rsid w:val="00892565"/>
    <w:rsid w:val="008A71BD"/>
    <w:rsid w:val="008B324D"/>
    <w:rsid w:val="008B3820"/>
    <w:rsid w:val="008D0A6E"/>
    <w:rsid w:val="00905AAA"/>
    <w:rsid w:val="00994A31"/>
    <w:rsid w:val="009D3FD8"/>
    <w:rsid w:val="00A0733B"/>
    <w:rsid w:val="00A35D25"/>
    <w:rsid w:val="00A71644"/>
    <w:rsid w:val="00A81AE4"/>
    <w:rsid w:val="00A827F1"/>
    <w:rsid w:val="00AC28BC"/>
    <w:rsid w:val="00B90233"/>
    <w:rsid w:val="00BA67CB"/>
    <w:rsid w:val="00C041A1"/>
    <w:rsid w:val="00C82545"/>
    <w:rsid w:val="00CB52B3"/>
    <w:rsid w:val="00CE4044"/>
    <w:rsid w:val="00D13CCA"/>
    <w:rsid w:val="00DB1A2F"/>
    <w:rsid w:val="00DD21D3"/>
    <w:rsid w:val="00DE3C04"/>
    <w:rsid w:val="00EF7214"/>
    <w:rsid w:val="00F73797"/>
    <w:rsid w:val="00F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Soledad Leticia Rojas Sihuas</cp:lastModifiedBy>
  <cp:revision>2</cp:revision>
  <cp:lastPrinted>2022-04-06T22:11:00Z</cp:lastPrinted>
  <dcterms:created xsi:type="dcterms:W3CDTF">2024-08-15T16:53:00Z</dcterms:created>
  <dcterms:modified xsi:type="dcterms:W3CDTF">2024-08-15T16:53:00Z</dcterms:modified>
</cp:coreProperties>
</file>