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1FC1" w14:textId="77777777" w:rsidR="002A5039" w:rsidRDefault="002A5039" w:rsidP="002A5039">
      <w:pPr>
        <w:pStyle w:val="Ttulo1"/>
        <w:numPr>
          <w:ilvl w:val="0"/>
          <w:numId w:val="0"/>
        </w:numPr>
        <w:ind w:left="360" w:hanging="360"/>
      </w:pPr>
      <w:bookmarkStart w:id="0" w:name="_Toc117881623"/>
      <w:r>
        <w:t>ANEXO 6: Rubros Financiables</w:t>
      </w:r>
      <w:bookmarkEnd w:id="0"/>
    </w:p>
    <w:p w14:paraId="06B0E6DD" w14:textId="77777777" w:rsidR="002A5039" w:rsidRDefault="002A5039" w:rsidP="002A5039"/>
    <w:p w14:paraId="4B956528" w14:textId="77777777" w:rsidR="002A5039" w:rsidRDefault="002A5039" w:rsidP="002A5039">
      <w:pPr>
        <w:numPr>
          <w:ilvl w:val="0"/>
          <w:numId w:val="15"/>
        </w:numPr>
        <w:pBdr>
          <w:top w:val="nil"/>
          <w:left w:val="nil"/>
          <w:bottom w:val="nil"/>
          <w:right w:val="nil"/>
          <w:between w:val="nil"/>
        </w:pBdr>
        <w:rPr>
          <w:i/>
          <w:color w:val="000000"/>
          <w:sz w:val="19"/>
          <w:szCs w:val="19"/>
        </w:rPr>
      </w:pPr>
      <w:bookmarkStart w:id="1" w:name="_heading=h.1y810tw" w:colFirst="0" w:colLast="0"/>
      <w:bookmarkEnd w:id="1"/>
      <w:r>
        <w:rPr>
          <w:b/>
          <w:color w:val="000000"/>
          <w:sz w:val="19"/>
          <w:szCs w:val="19"/>
        </w:rPr>
        <w:t>Recursos humanos</w:t>
      </w:r>
      <w:r>
        <w:rPr>
          <w:b/>
          <w:color w:val="000000"/>
          <w:sz w:val="19"/>
          <w:szCs w:val="19"/>
          <w:vertAlign w:val="superscript"/>
        </w:rPr>
        <w:footnoteReference w:id="1"/>
      </w:r>
      <w:r>
        <w:rPr>
          <w:color w:val="000000"/>
          <w:sz w:val="19"/>
          <w:szCs w:val="19"/>
        </w:rPr>
        <w:t xml:space="preserve"> </w:t>
      </w:r>
      <w:r>
        <w:rPr>
          <w:i/>
          <w:color w:val="000000"/>
          <w:sz w:val="19"/>
          <w:szCs w:val="19"/>
        </w:rPr>
        <w:t>(hasta 55% del monto financiado por el Programa PROCIENCIA)</w:t>
      </w:r>
    </w:p>
    <w:p w14:paraId="3D568433" w14:textId="77777777" w:rsidR="002A5039" w:rsidRDefault="002A5039" w:rsidP="002A5039">
      <w:pPr>
        <w:pBdr>
          <w:top w:val="nil"/>
          <w:left w:val="nil"/>
          <w:bottom w:val="nil"/>
          <w:right w:val="nil"/>
          <w:between w:val="nil"/>
        </w:pBdr>
        <w:ind w:left="360"/>
        <w:rPr>
          <w:color w:val="000000"/>
          <w:sz w:val="19"/>
          <w:szCs w:val="19"/>
        </w:rPr>
      </w:pPr>
      <w:bookmarkStart w:id="2" w:name="_heading=h.4i7ojhp" w:colFirst="0" w:colLast="0"/>
      <w:bookmarkEnd w:id="2"/>
      <w:r>
        <w:rPr>
          <w:color w:val="000000"/>
          <w:sz w:val="19"/>
          <w:szCs w:val="19"/>
        </w:rPr>
        <w:t xml:space="preserve">El presente rubro debe considerar el incentivo monetario a ser otorgado al </w:t>
      </w:r>
      <w:proofErr w:type="gramStart"/>
      <w:r>
        <w:rPr>
          <w:color w:val="000000"/>
          <w:sz w:val="19"/>
          <w:szCs w:val="19"/>
        </w:rPr>
        <w:t>Responsable</w:t>
      </w:r>
      <w:proofErr w:type="gramEnd"/>
      <w:r>
        <w:rPr>
          <w:color w:val="000000"/>
          <w:sz w:val="19"/>
          <w:szCs w:val="19"/>
        </w:rPr>
        <w:t xml:space="preserve"> Técnico, los Co-Investigadores; así como el estipendio a ser otorgado a los tesistas, el Personal Técnico</w:t>
      </w:r>
      <w:r>
        <w:rPr>
          <w:color w:val="000000"/>
          <w:sz w:val="19"/>
          <w:szCs w:val="19"/>
          <w:vertAlign w:val="superscript"/>
        </w:rPr>
        <w:footnoteReference w:id="2"/>
      </w:r>
      <w:r>
        <w:rPr>
          <w:color w:val="000000"/>
          <w:sz w:val="19"/>
          <w:szCs w:val="19"/>
        </w:rPr>
        <w:t xml:space="preserve"> y gestor tecnológico</w:t>
      </w:r>
      <w:r>
        <w:rPr>
          <w:color w:val="000000"/>
          <w:sz w:val="19"/>
          <w:szCs w:val="19"/>
          <w:vertAlign w:val="superscript"/>
        </w:rPr>
        <w:footnoteReference w:id="3"/>
      </w:r>
      <w:r>
        <w:rPr>
          <w:color w:val="000000"/>
          <w:sz w:val="19"/>
          <w:szCs w:val="19"/>
        </w:rPr>
        <w:t xml:space="preserve"> según corresponda. </w:t>
      </w:r>
    </w:p>
    <w:p w14:paraId="3B1A7C1C" w14:textId="77777777" w:rsidR="002A5039" w:rsidRDefault="002A5039" w:rsidP="002A5039">
      <w:pPr>
        <w:pBdr>
          <w:top w:val="nil"/>
          <w:left w:val="nil"/>
          <w:bottom w:val="nil"/>
          <w:right w:val="nil"/>
          <w:between w:val="nil"/>
        </w:pBdr>
        <w:ind w:left="360"/>
        <w:rPr>
          <w:color w:val="000000"/>
          <w:sz w:val="19"/>
          <w:szCs w:val="19"/>
        </w:rPr>
      </w:pPr>
      <w:r>
        <w:rPr>
          <w:color w:val="000000"/>
          <w:sz w:val="19"/>
          <w:szCs w:val="19"/>
        </w:rPr>
        <w:t>En el caso del incentivo monetario para los tesistas debe ser considerado por lo menos S/ 800.00 soles mensuales para tesistas de pregrado y S/1,200.00 soles mensuales para los tesistas de postgrado.</w:t>
      </w:r>
    </w:p>
    <w:p w14:paraId="02180103" w14:textId="77777777" w:rsidR="002A5039" w:rsidRDefault="002A5039" w:rsidP="002A5039">
      <w:pPr>
        <w:pBdr>
          <w:top w:val="nil"/>
          <w:left w:val="nil"/>
          <w:bottom w:val="nil"/>
          <w:right w:val="nil"/>
          <w:between w:val="nil"/>
        </w:pBdr>
        <w:ind w:left="360"/>
        <w:rPr>
          <w:color w:val="000000"/>
          <w:sz w:val="19"/>
          <w:szCs w:val="19"/>
        </w:rPr>
      </w:pPr>
      <w:r>
        <w:rPr>
          <w:color w:val="000000"/>
          <w:sz w:val="19"/>
          <w:szCs w:val="19"/>
        </w:rPr>
        <w:t xml:space="preserve">El rango de contraprestaciones en el equipo de investigación será determinado por el </w:t>
      </w:r>
      <w:proofErr w:type="gramStart"/>
      <w:r>
        <w:rPr>
          <w:color w:val="000000"/>
          <w:sz w:val="19"/>
          <w:szCs w:val="19"/>
        </w:rPr>
        <w:t>Responsable</w:t>
      </w:r>
      <w:proofErr w:type="gramEnd"/>
      <w:r>
        <w:rPr>
          <w:color w:val="000000"/>
          <w:sz w:val="19"/>
          <w:szCs w:val="19"/>
        </w:rPr>
        <w:t xml:space="preserve"> Técnico.</w:t>
      </w:r>
    </w:p>
    <w:p w14:paraId="6DEB8476" w14:textId="77777777" w:rsidR="002A5039" w:rsidRDefault="002A5039" w:rsidP="002A5039">
      <w:pPr>
        <w:rPr>
          <w:b/>
          <w:i/>
          <w:sz w:val="19"/>
          <w:szCs w:val="19"/>
        </w:rPr>
      </w:pPr>
      <w:r>
        <w:rPr>
          <w:b/>
          <w:i/>
          <w:sz w:val="19"/>
          <w:szCs w:val="19"/>
        </w:rPr>
        <w:t>Consideraciones</w:t>
      </w:r>
    </w:p>
    <w:p w14:paraId="7F45A1CB" w14:textId="77777777" w:rsidR="002A5039" w:rsidRDefault="002A5039" w:rsidP="002A5039">
      <w:pPr>
        <w:numPr>
          <w:ilvl w:val="0"/>
          <w:numId w:val="17"/>
        </w:numPr>
        <w:pBdr>
          <w:top w:val="nil"/>
          <w:left w:val="nil"/>
          <w:bottom w:val="nil"/>
          <w:right w:val="nil"/>
          <w:between w:val="nil"/>
        </w:pBdr>
        <w:ind w:left="426" w:hanging="284"/>
        <w:rPr>
          <w:color w:val="000000"/>
          <w:sz w:val="19"/>
          <w:szCs w:val="19"/>
        </w:rPr>
      </w:pPr>
      <w:r>
        <w:rPr>
          <w:color w:val="000000"/>
          <w:sz w:val="19"/>
          <w:szCs w:val="19"/>
        </w:rPr>
        <w:t>Tener en consideración que el Incentivo Monetario no es un salario, es un incentivo adicional al salario percibido por sus respectivas entidades.</w:t>
      </w:r>
    </w:p>
    <w:p w14:paraId="2D5CF47D" w14:textId="77777777" w:rsidR="002A5039" w:rsidRDefault="002A5039" w:rsidP="002A5039">
      <w:pPr>
        <w:numPr>
          <w:ilvl w:val="0"/>
          <w:numId w:val="17"/>
        </w:numPr>
        <w:pBdr>
          <w:top w:val="nil"/>
          <w:left w:val="nil"/>
          <w:bottom w:val="nil"/>
          <w:right w:val="nil"/>
          <w:between w:val="nil"/>
        </w:pBdr>
        <w:ind w:left="426" w:hanging="284"/>
        <w:rPr>
          <w:color w:val="000000"/>
          <w:sz w:val="19"/>
          <w:szCs w:val="19"/>
        </w:rPr>
      </w:pPr>
      <w:r>
        <w:rPr>
          <w:color w:val="000000"/>
          <w:sz w:val="19"/>
          <w:szCs w:val="19"/>
        </w:rPr>
        <w:t>No se considerará el personal que no se haya registrado en el proyecto o destinado a actividades no declaradas.</w:t>
      </w:r>
    </w:p>
    <w:p w14:paraId="621C301B" w14:textId="77777777" w:rsidR="002A5039" w:rsidRDefault="002A5039" w:rsidP="002A5039">
      <w:pPr>
        <w:numPr>
          <w:ilvl w:val="0"/>
          <w:numId w:val="17"/>
        </w:numPr>
        <w:pBdr>
          <w:top w:val="nil"/>
          <w:left w:val="nil"/>
          <w:bottom w:val="nil"/>
          <w:right w:val="nil"/>
          <w:between w:val="nil"/>
        </w:pBdr>
        <w:ind w:left="426" w:hanging="284"/>
        <w:rPr>
          <w:color w:val="000000"/>
          <w:sz w:val="19"/>
          <w:szCs w:val="19"/>
        </w:rPr>
      </w:pPr>
      <w:r>
        <w:rPr>
          <w:color w:val="000000"/>
          <w:sz w:val="19"/>
          <w:szCs w:val="19"/>
        </w:rPr>
        <w:t xml:space="preserve">El </w:t>
      </w:r>
      <w:proofErr w:type="gramStart"/>
      <w:r>
        <w:rPr>
          <w:color w:val="000000"/>
          <w:sz w:val="19"/>
          <w:szCs w:val="19"/>
        </w:rPr>
        <w:t>Responsable</w:t>
      </w:r>
      <w:proofErr w:type="gramEnd"/>
      <w:r>
        <w:rPr>
          <w:color w:val="000000"/>
          <w:sz w:val="19"/>
          <w:szCs w:val="19"/>
        </w:rPr>
        <w:t xml:space="preserve"> Técnico y la entidad ejecutora determinará la modalidad para la asignación del incentivo monetario a los integrantes del equipo de investigación que no laboran en esa institución según sus procedimientos administrativos internos.</w:t>
      </w:r>
    </w:p>
    <w:p w14:paraId="6E6E6DB2" w14:textId="77777777" w:rsidR="002A5039" w:rsidRDefault="002A5039" w:rsidP="002A5039">
      <w:pPr>
        <w:pBdr>
          <w:top w:val="nil"/>
          <w:left w:val="nil"/>
          <w:bottom w:val="nil"/>
          <w:right w:val="nil"/>
          <w:between w:val="nil"/>
        </w:pBdr>
        <w:ind w:left="360"/>
        <w:rPr>
          <w:color w:val="000000"/>
          <w:sz w:val="19"/>
          <w:szCs w:val="19"/>
        </w:rPr>
      </w:pPr>
    </w:p>
    <w:p w14:paraId="1D734977" w14:textId="77777777" w:rsidR="002A5039" w:rsidRDefault="002A5039" w:rsidP="002A5039">
      <w:pPr>
        <w:numPr>
          <w:ilvl w:val="0"/>
          <w:numId w:val="15"/>
        </w:numPr>
        <w:pBdr>
          <w:top w:val="nil"/>
          <w:left w:val="nil"/>
          <w:bottom w:val="nil"/>
          <w:right w:val="nil"/>
          <w:between w:val="nil"/>
        </w:pBdr>
        <w:rPr>
          <w:i/>
          <w:color w:val="000000"/>
          <w:sz w:val="19"/>
          <w:szCs w:val="19"/>
        </w:rPr>
      </w:pPr>
      <w:r>
        <w:rPr>
          <w:b/>
          <w:color w:val="000000"/>
          <w:sz w:val="19"/>
          <w:szCs w:val="19"/>
        </w:rPr>
        <w:t xml:space="preserve">Pasajes y Viáticos </w:t>
      </w:r>
      <w:r>
        <w:rPr>
          <w:i/>
          <w:color w:val="000000"/>
          <w:sz w:val="19"/>
          <w:szCs w:val="19"/>
        </w:rPr>
        <w:t xml:space="preserve">(hasta 10% del monto financiado por el Programa PROCIENCIA) </w:t>
      </w:r>
    </w:p>
    <w:p w14:paraId="6AD6212F" w14:textId="77777777" w:rsidR="002A5039" w:rsidRDefault="002A5039" w:rsidP="002A5039">
      <w:pPr>
        <w:pBdr>
          <w:top w:val="nil"/>
          <w:left w:val="nil"/>
          <w:bottom w:val="nil"/>
          <w:right w:val="nil"/>
          <w:between w:val="nil"/>
        </w:pBdr>
        <w:ind w:left="360"/>
        <w:rPr>
          <w:color w:val="000000"/>
          <w:sz w:val="19"/>
          <w:szCs w:val="19"/>
        </w:rPr>
      </w:pPr>
      <w:r>
        <w:rPr>
          <w:color w:val="000000"/>
          <w:sz w:val="19"/>
          <w:szCs w:val="19"/>
        </w:rPr>
        <w:t>Corresponde a los gastos de viajes relacionados a actividades propias del proyecto de investigación. Los gastos que aplican para este rubro son:</w:t>
      </w:r>
    </w:p>
    <w:p w14:paraId="33C408CD" w14:textId="77777777" w:rsidR="002A5039" w:rsidRDefault="002A5039" w:rsidP="002A5039">
      <w:pPr>
        <w:numPr>
          <w:ilvl w:val="1"/>
          <w:numId w:val="14"/>
        </w:numPr>
        <w:pBdr>
          <w:top w:val="nil"/>
          <w:left w:val="nil"/>
          <w:bottom w:val="nil"/>
          <w:right w:val="nil"/>
          <w:between w:val="nil"/>
        </w:pBdr>
        <w:rPr>
          <w:color w:val="000000"/>
          <w:sz w:val="19"/>
          <w:szCs w:val="19"/>
        </w:rPr>
      </w:pPr>
      <w:r>
        <w:rPr>
          <w:color w:val="000000"/>
          <w:sz w:val="19"/>
          <w:szCs w:val="19"/>
        </w:rPr>
        <w:t xml:space="preserve">Pasajes: Pasajes de ida y vuelta, en clase económica considerando destinos nacionales e internacionales. Se puede incluir pasajes aéreos, terrestres o acuáticos dependiendo de las vías disponibles para llegar al destino. Solo se considerarán pasajes internacionales en caso las restricciones varíen, </w:t>
      </w:r>
      <w:proofErr w:type="gramStart"/>
      <w:r>
        <w:rPr>
          <w:color w:val="000000"/>
          <w:sz w:val="19"/>
          <w:szCs w:val="19"/>
        </w:rPr>
        <w:t>de acuerdo a</w:t>
      </w:r>
      <w:proofErr w:type="gramEnd"/>
      <w:r>
        <w:rPr>
          <w:color w:val="000000"/>
          <w:sz w:val="19"/>
          <w:szCs w:val="19"/>
        </w:rPr>
        <w:t xml:space="preserve"> la actual coyuntura. </w:t>
      </w:r>
    </w:p>
    <w:p w14:paraId="02927CB7" w14:textId="77777777" w:rsidR="002A5039" w:rsidRDefault="002A5039" w:rsidP="002A5039">
      <w:pPr>
        <w:numPr>
          <w:ilvl w:val="1"/>
          <w:numId w:val="14"/>
        </w:numPr>
        <w:pBdr>
          <w:top w:val="nil"/>
          <w:left w:val="nil"/>
          <w:bottom w:val="nil"/>
          <w:right w:val="nil"/>
          <w:between w:val="nil"/>
        </w:pBdr>
        <w:rPr>
          <w:color w:val="000000"/>
          <w:sz w:val="19"/>
          <w:szCs w:val="19"/>
        </w:rPr>
      </w:pPr>
      <w:r>
        <w:rPr>
          <w:color w:val="000000"/>
          <w:sz w:val="19"/>
          <w:szCs w:val="19"/>
        </w:rPr>
        <w:t>Viáticos: comprenden los gastos por concepto de alimentación, hospedaje y movilidad (hacia y desde el lugar de embarque), así como el desplazamiento en lugar donde se realizan las actividades. El concepto de viáticos es aplicable para estancias cuya duración sea menor a los quince (15) días calendario, considerando los topes máximos diarios detallados en el Anexo 2.</w:t>
      </w:r>
    </w:p>
    <w:p w14:paraId="48C71C98" w14:textId="77777777" w:rsidR="002A5039" w:rsidRDefault="002A5039" w:rsidP="002A5039">
      <w:pPr>
        <w:numPr>
          <w:ilvl w:val="1"/>
          <w:numId w:val="14"/>
        </w:numPr>
        <w:pBdr>
          <w:top w:val="nil"/>
          <w:left w:val="nil"/>
          <w:bottom w:val="nil"/>
          <w:right w:val="nil"/>
          <w:between w:val="nil"/>
        </w:pBdr>
        <w:rPr>
          <w:color w:val="000000"/>
          <w:sz w:val="19"/>
          <w:szCs w:val="19"/>
        </w:rPr>
      </w:pPr>
      <w:r>
        <w:rPr>
          <w:color w:val="000000"/>
          <w:sz w:val="19"/>
          <w:szCs w:val="19"/>
        </w:rPr>
        <w:t>Manutención: comprenden los gastos de alojamiento, alimentación y movilidad local, durante su permanencia en el lugar sede del objeto del beneficio otorgado, o desplazamientos relacionados con él. El concepto de Manutención es aplicable siempre que se trate de una estancia cuya duración sea mayor o igual a quince (15) días calendario, considerando los topes máximos diarios detallados en el Anexo 2.</w:t>
      </w:r>
    </w:p>
    <w:p w14:paraId="19A0E231" w14:textId="77777777" w:rsidR="002A5039" w:rsidRDefault="002A5039" w:rsidP="002A5039">
      <w:pPr>
        <w:numPr>
          <w:ilvl w:val="1"/>
          <w:numId w:val="14"/>
        </w:numPr>
        <w:pBdr>
          <w:top w:val="nil"/>
          <w:left w:val="nil"/>
          <w:bottom w:val="nil"/>
          <w:right w:val="nil"/>
          <w:between w:val="nil"/>
        </w:pBdr>
        <w:rPr>
          <w:color w:val="000000"/>
          <w:sz w:val="19"/>
          <w:szCs w:val="19"/>
        </w:rPr>
      </w:pPr>
      <w:r>
        <w:rPr>
          <w:color w:val="000000"/>
          <w:sz w:val="19"/>
          <w:szCs w:val="19"/>
        </w:rPr>
        <w:t xml:space="preserve">Seguro de viaje: el seguro es de carácter obligatorio y su valor debe estar </w:t>
      </w:r>
      <w:proofErr w:type="gramStart"/>
      <w:r>
        <w:rPr>
          <w:color w:val="000000"/>
          <w:sz w:val="19"/>
          <w:szCs w:val="19"/>
        </w:rPr>
        <w:t>de acuerdo al</w:t>
      </w:r>
      <w:proofErr w:type="gramEnd"/>
      <w:r>
        <w:rPr>
          <w:color w:val="000000"/>
          <w:sz w:val="19"/>
          <w:szCs w:val="19"/>
        </w:rPr>
        <w:t xml:space="preserve"> precio de mercado. La cobertura típicamente incluye gastos médicos de emergencia, muerte </w:t>
      </w:r>
      <w:r>
        <w:rPr>
          <w:color w:val="000000"/>
          <w:sz w:val="19"/>
          <w:szCs w:val="19"/>
        </w:rPr>
        <w:lastRenderedPageBreak/>
        <w:t>accidental, invalidez e imprevistos logísticos durante el viaje (retraso de vuelos, demora o pérdida de equipaje, robos, etc.). El precio del seguro puede variar en función a edad, duración del viaje y el destino. Se puede financiar hasta un máximo de S/ 1,000.</w:t>
      </w:r>
    </w:p>
    <w:p w14:paraId="4C123CA7" w14:textId="77777777" w:rsidR="002A5039" w:rsidRDefault="002A5039" w:rsidP="002A5039">
      <w:pPr>
        <w:rPr>
          <w:b/>
          <w:sz w:val="19"/>
          <w:szCs w:val="19"/>
        </w:rPr>
      </w:pPr>
    </w:p>
    <w:p w14:paraId="72ADBE1D" w14:textId="77777777" w:rsidR="002A5039" w:rsidRDefault="002A5039" w:rsidP="002A5039">
      <w:pPr>
        <w:pBdr>
          <w:top w:val="single" w:sz="4" w:space="1" w:color="000000"/>
          <w:left w:val="single" w:sz="4" w:space="4" w:color="000000"/>
          <w:bottom w:val="single" w:sz="4" w:space="1" w:color="000000"/>
          <w:right w:val="single" w:sz="4" w:space="4" w:color="000000"/>
          <w:between w:val="nil"/>
        </w:pBdr>
        <w:shd w:val="clear" w:color="auto" w:fill="E7E7E7"/>
        <w:ind w:left="360"/>
        <w:rPr>
          <w:color w:val="000000"/>
          <w:sz w:val="19"/>
          <w:szCs w:val="19"/>
        </w:rPr>
      </w:pPr>
      <w:bookmarkStart w:id="3" w:name="_heading=h.2xcytpi" w:colFirst="0" w:colLast="0"/>
      <w:bookmarkEnd w:id="3"/>
      <w:r>
        <w:rPr>
          <w:b/>
          <w:color w:val="000000"/>
          <w:sz w:val="19"/>
          <w:szCs w:val="19"/>
        </w:rPr>
        <w:t>Nota importante</w:t>
      </w:r>
      <w:r>
        <w:rPr>
          <w:color w:val="000000"/>
          <w:sz w:val="19"/>
          <w:szCs w:val="19"/>
        </w:rPr>
        <w:t xml:space="preserve">: Debido a la coyuntura actual, existen restricciones de viajes entre algunos países. Asimismo, en algunos países se está considerando volver a aplicar la cuarentena; por lo tanto, la ejecución del proyecto no debe verse afectada en caso de no poder realizar dichos viajes. </w:t>
      </w:r>
    </w:p>
    <w:p w14:paraId="0E634A83" w14:textId="77777777" w:rsidR="002A5039" w:rsidRDefault="002A5039" w:rsidP="002A5039">
      <w:pPr>
        <w:rPr>
          <w:sz w:val="19"/>
          <w:szCs w:val="19"/>
          <w:highlight w:val="lightGray"/>
        </w:rPr>
      </w:pPr>
    </w:p>
    <w:p w14:paraId="122E2D54" w14:textId="77777777" w:rsidR="002A5039" w:rsidRDefault="002A5039" w:rsidP="002A5039">
      <w:pPr>
        <w:numPr>
          <w:ilvl w:val="0"/>
          <w:numId w:val="15"/>
        </w:numPr>
        <w:pBdr>
          <w:top w:val="nil"/>
          <w:left w:val="nil"/>
          <w:bottom w:val="nil"/>
          <w:right w:val="nil"/>
          <w:between w:val="nil"/>
        </w:pBdr>
        <w:rPr>
          <w:b/>
          <w:i/>
          <w:color w:val="000000"/>
          <w:sz w:val="19"/>
          <w:szCs w:val="19"/>
        </w:rPr>
      </w:pPr>
      <w:r>
        <w:rPr>
          <w:b/>
          <w:color w:val="000000"/>
          <w:sz w:val="19"/>
          <w:szCs w:val="19"/>
        </w:rPr>
        <w:t xml:space="preserve">Equipos y bienes duraderos </w:t>
      </w:r>
    </w:p>
    <w:p w14:paraId="108DA9AA" w14:textId="77777777" w:rsidR="002A5039" w:rsidRDefault="002A5039" w:rsidP="002A5039">
      <w:pPr>
        <w:pBdr>
          <w:top w:val="nil"/>
          <w:left w:val="nil"/>
          <w:bottom w:val="nil"/>
          <w:right w:val="nil"/>
          <w:between w:val="nil"/>
        </w:pBdr>
        <w:ind w:left="360"/>
        <w:rPr>
          <w:color w:val="000000"/>
          <w:sz w:val="19"/>
          <w:szCs w:val="19"/>
        </w:rPr>
      </w:pPr>
      <w:r>
        <w:rPr>
          <w:color w:val="000000"/>
          <w:sz w:val="19"/>
          <w:szCs w:val="19"/>
        </w:rPr>
        <w:t xml:space="preserve">Corresponde a la adquisición de equipos menores para el proyecto de investigación. </w:t>
      </w:r>
    </w:p>
    <w:p w14:paraId="25B29070" w14:textId="77777777" w:rsidR="002A5039" w:rsidRDefault="002A5039" w:rsidP="002A5039">
      <w:pPr>
        <w:rPr>
          <w:b/>
          <w:i/>
          <w:sz w:val="19"/>
          <w:szCs w:val="19"/>
        </w:rPr>
      </w:pPr>
      <w:r>
        <w:rPr>
          <w:b/>
          <w:i/>
          <w:sz w:val="19"/>
          <w:szCs w:val="19"/>
        </w:rPr>
        <w:t>Consideraciones</w:t>
      </w:r>
    </w:p>
    <w:p w14:paraId="4E5BDC92" w14:textId="77777777" w:rsidR="002A5039" w:rsidRDefault="002A5039" w:rsidP="002A5039">
      <w:pPr>
        <w:numPr>
          <w:ilvl w:val="0"/>
          <w:numId w:val="17"/>
        </w:numPr>
        <w:pBdr>
          <w:top w:val="nil"/>
          <w:left w:val="nil"/>
          <w:bottom w:val="nil"/>
          <w:right w:val="nil"/>
          <w:between w:val="nil"/>
        </w:pBdr>
        <w:ind w:left="426" w:hanging="284"/>
        <w:rPr>
          <w:color w:val="000000"/>
          <w:sz w:val="19"/>
          <w:szCs w:val="19"/>
        </w:rPr>
      </w:pPr>
      <w:r>
        <w:rPr>
          <w:color w:val="000000"/>
          <w:sz w:val="19"/>
          <w:szCs w:val="19"/>
        </w:rPr>
        <w:t xml:space="preserve">No se considerará la adquisición o alquiler de equipos, bienes duraderos e insumos no vinculados con la naturaleza y ejecución del proyecto. </w:t>
      </w:r>
    </w:p>
    <w:p w14:paraId="3529BC9C" w14:textId="77777777" w:rsidR="002A5039" w:rsidRDefault="002A5039" w:rsidP="002A5039">
      <w:pPr>
        <w:numPr>
          <w:ilvl w:val="0"/>
          <w:numId w:val="17"/>
        </w:numPr>
        <w:pBdr>
          <w:top w:val="nil"/>
          <w:left w:val="nil"/>
          <w:bottom w:val="nil"/>
          <w:right w:val="nil"/>
          <w:between w:val="nil"/>
        </w:pBdr>
        <w:ind w:left="426" w:hanging="284"/>
        <w:rPr>
          <w:color w:val="000000"/>
          <w:sz w:val="19"/>
          <w:szCs w:val="19"/>
        </w:rPr>
      </w:pPr>
      <w:r>
        <w:rPr>
          <w:color w:val="000000"/>
          <w:sz w:val="19"/>
          <w:szCs w:val="19"/>
        </w:rPr>
        <w:t xml:space="preserve">No se considerará la adquisición o alquiler de inmuebles y adquisición de vehículos. </w:t>
      </w:r>
    </w:p>
    <w:p w14:paraId="1D3571E8" w14:textId="77777777" w:rsidR="002A5039" w:rsidRDefault="002A5039" w:rsidP="002A5039">
      <w:pPr>
        <w:numPr>
          <w:ilvl w:val="0"/>
          <w:numId w:val="17"/>
        </w:numPr>
        <w:pBdr>
          <w:top w:val="nil"/>
          <w:left w:val="nil"/>
          <w:bottom w:val="nil"/>
          <w:right w:val="nil"/>
          <w:between w:val="nil"/>
        </w:pBdr>
        <w:ind w:left="426" w:hanging="284"/>
        <w:rPr>
          <w:color w:val="000000"/>
          <w:sz w:val="19"/>
          <w:szCs w:val="19"/>
        </w:rPr>
      </w:pPr>
      <w:r>
        <w:rPr>
          <w:color w:val="000000"/>
          <w:sz w:val="19"/>
          <w:szCs w:val="19"/>
        </w:rPr>
        <w:t xml:space="preserve">No se considerará la adquisición de bienes usados. </w:t>
      </w:r>
    </w:p>
    <w:p w14:paraId="265FA4D4" w14:textId="77777777" w:rsidR="002A5039" w:rsidRDefault="002A5039" w:rsidP="002A5039">
      <w:pPr>
        <w:numPr>
          <w:ilvl w:val="0"/>
          <w:numId w:val="17"/>
        </w:numPr>
        <w:pBdr>
          <w:top w:val="nil"/>
          <w:left w:val="nil"/>
          <w:bottom w:val="nil"/>
          <w:right w:val="nil"/>
          <w:between w:val="nil"/>
        </w:pBdr>
        <w:ind w:left="426" w:hanging="284"/>
        <w:rPr>
          <w:color w:val="000000"/>
          <w:sz w:val="19"/>
          <w:szCs w:val="19"/>
        </w:rPr>
      </w:pPr>
      <w:r>
        <w:rPr>
          <w:color w:val="000000"/>
          <w:sz w:val="19"/>
          <w:szCs w:val="19"/>
        </w:rPr>
        <w:t>No se considerará la adquisición de tecnologías y equipamiento que tengan impactos negativos en el medio ambiente.</w:t>
      </w:r>
    </w:p>
    <w:p w14:paraId="3E4320CC" w14:textId="77777777" w:rsidR="002A5039" w:rsidRDefault="002A5039" w:rsidP="002A5039">
      <w:pPr>
        <w:numPr>
          <w:ilvl w:val="0"/>
          <w:numId w:val="17"/>
        </w:numPr>
        <w:pBdr>
          <w:top w:val="nil"/>
          <w:left w:val="nil"/>
          <w:bottom w:val="nil"/>
          <w:right w:val="nil"/>
          <w:between w:val="nil"/>
        </w:pBdr>
        <w:ind w:left="426" w:hanging="284"/>
        <w:rPr>
          <w:color w:val="000000"/>
          <w:sz w:val="19"/>
          <w:szCs w:val="19"/>
        </w:rPr>
      </w:pPr>
      <w:r>
        <w:rPr>
          <w:b/>
          <w:color w:val="000000"/>
          <w:sz w:val="19"/>
          <w:szCs w:val="19"/>
        </w:rPr>
        <w:t>No se podrán realizar adquisiciones en este rubro en los últimos seis (06) meses de ejecución del proyecto.</w:t>
      </w:r>
    </w:p>
    <w:p w14:paraId="304E0C66" w14:textId="77777777" w:rsidR="002A5039" w:rsidRDefault="002A5039" w:rsidP="002A5039">
      <w:pPr>
        <w:pBdr>
          <w:top w:val="nil"/>
          <w:left w:val="nil"/>
          <w:bottom w:val="nil"/>
          <w:right w:val="nil"/>
          <w:between w:val="nil"/>
        </w:pBdr>
        <w:ind w:left="720"/>
        <w:rPr>
          <w:color w:val="000000"/>
          <w:sz w:val="19"/>
          <w:szCs w:val="19"/>
          <w:highlight w:val="lightGray"/>
        </w:rPr>
      </w:pPr>
    </w:p>
    <w:p w14:paraId="3D3E7A2C" w14:textId="77777777" w:rsidR="002A5039" w:rsidRDefault="002A5039" w:rsidP="002A5039">
      <w:pPr>
        <w:numPr>
          <w:ilvl w:val="0"/>
          <w:numId w:val="15"/>
        </w:numPr>
        <w:pBdr>
          <w:top w:val="nil"/>
          <w:left w:val="nil"/>
          <w:bottom w:val="nil"/>
          <w:right w:val="nil"/>
          <w:between w:val="nil"/>
        </w:pBdr>
        <w:rPr>
          <w:b/>
          <w:color w:val="000000"/>
          <w:sz w:val="19"/>
          <w:szCs w:val="19"/>
        </w:rPr>
      </w:pPr>
      <w:r>
        <w:rPr>
          <w:b/>
          <w:color w:val="000000"/>
          <w:sz w:val="19"/>
          <w:szCs w:val="19"/>
        </w:rPr>
        <w:t xml:space="preserve">Materiales e insumos </w:t>
      </w:r>
    </w:p>
    <w:p w14:paraId="20E1D103" w14:textId="77777777" w:rsidR="002A5039" w:rsidRDefault="002A5039" w:rsidP="002A5039">
      <w:pPr>
        <w:numPr>
          <w:ilvl w:val="1"/>
          <w:numId w:val="1"/>
        </w:numPr>
        <w:pBdr>
          <w:top w:val="nil"/>
          <w:left w:val="nil"/>
          <w:bottom w:val="nil"/>
          <w:right w:val="nil"/>
          <w:between w:val="nil"/>
        </w:pBdr>
        <w:rPr>
          <w:color w:val="000000"/>
          <w:sz w:val="19"/>
          <w:szCs w:val="19"/>
        </w:rPr>
      </w:pPr>
      <w:r>
        <w:rPr>
          <w:color w:val="000000"/>
          <w:sz w:val="19"/>
          <w:szCs w:val="19"/>
        </w:rPr>
        <w:t xml:space="preserve">Materiales, insumos, reactivos, accesorios, componentes electrónicos o mecánicos, bienes no inventariables. </w:t>
      </w:r>
    </w:p>
    <w:p w14:paraId="121C3091" w14:textId="77777777" w:rsidR="002A5039" w:rsidRDefault="002A5039" w:rsidP="002A5039">
      <w:pPr>
        <w:numPr>
          <w:ilvl w:val="1"/>
          <w:numId w:val="1"/>
        </w:numPr>
        <w:pBdr>
          <w:top w:val="nil"/>
          <w:left w:val="nil"/>
          <w:bottom w:val="nil"/>
          <w:right w:val="nil"/>
          <w:between w:val="nil"/>
        </w:pBdr>
        <w:rPr>
          <w:color w:val="000000"/>
          <w:sz w:val="19"/>
          <w:szCs w:val="19"/>
        </w:rPr>
      </w:pPr>
      <w:r>
        <w:rPr>
          <w:color w:val="000000"/>
          <w:sz w:val="19"/>
          <w:szCs w:val="19"/>
        </w:rPr>
        <w:t>Material bibliográfico como manuales, bases de datos, libros especializados, otros, y/o suscripciones a redes de información (en físico o electrónico).</w:t>
      </w:r>
    </w:p>
    <w:p w14:paraId="5E7FE14C" w14:textId="77777777" w:rsidR="002A5039" w:rsidRDefault="002A5039" w:rsidP="002A5039">
      <w:pPr>
        <w:numPr>
          <w:ilvl w:val="1"/>
          <w:numId w:val="1"/>
        </w:numPr>
        <w:pBdr>
          <w:top w:val="nil"/>
          <w:left w:val="nil"/>
          <w:bottom w:val="nil"/>
          <w:right w:val="nil"/>
          <w:between w:val="nil"/>
        </w:pBdr>
        <w:rPr>
          <w:color w:val="000000"/>
          <w:sz w:val="19"/>
          <w:szCs w:val="19"/>
        </w:rPr>
      </w:pPr>
      <w:r>
        <w:rPr>
          <w:color w:val="000000"/>
          <w:sz w:val="19"/>
          <w:szCs w:val="19"/>
        </w:rPr>
        <w:t>Software especializado para el desarrollo de los proyectos de investigación.</w:t>
      </w:r>
    </w:p>
    <w:p w14:paraId="6AF30A68" w14:textId="77777777" w:rsidR="002A5039" w:rsidRDefault="002A5039" w:rsidP="002A5039">
      <w:pPr>
        <w:numPr>
          <w:ilvl w:val="1"/>
          <w:numId w:val="1"/>
        </w:numPr>
        <w:pBdr>
          <w:top w:val="nil"/>
          <w:left w:val="nil"/>
          <w:bottom w:val="nil"/>
          <w:right w:val="nil"/>
          <w:between w:val="nil"/>
        </w:pBdr>
        <w:rPr>
          <w:color w:val="000000"/>
          <w:sz w:val="19"/>
          <w:szCs w:val="19"/>
        </w:rPr>
      </w:pPr>
      <w:r>
        <w:rPr>
          <w:color w:val="000000"/>
          <w:sz w:val="19"/>
          <w:szCs w:val="19"/>
        </w:rPr>
        <w:t>Adquisición de licencias de uso necesarias para el desarrollo de la propuesta de proyecto.</w:t>
      </w:r>
    </w:p>
    <w:p w14:paraId="08E323E8" w14:textId="77777777" w:rsidR="002A5039" w:rsidRDefault="002A5039" w:rsidP="002A5039">
      <w:pPr>
        <w:rPr>
          <w:b/>
          <w:i/>
          <w:sz w:val="19"/>
          <w:szCs w:val="19"/>
        </w:rPr>
      </w:pPr>
      <w:r>
        <w:rPr>
          <w:b/>
          <w:i/>
          <w:sz w:val="19"/>
          <w:szCs w:val="19"/>
        </w:rPr>
        <w:t>Consideraciones</w:t>
      </w:r>
    </w:p>
    <w:p w14:paraId="0CE532F5" w14:textId="77777777" w:rsidR="002A5039" w:rsidRDefault="002A5039" w:rsidP="002A5039">
      <w:pPr>
        <w:numPr>
          <w:ilvl w:val="0"/>
          <w:numId w:val="17"/>
        </w:numPr>
        <w:pBdr>
          <w:top w:val="nil"/>
          <w:left w:val="nil"/>
          <w:bottom w:val="nil"/>
          <w:right w:val="nil"/>
          <w:between w:val="nil"/>
        </w:pBdr>
        <w:ind w:left="426" w:hanging="426"/>
        <w:rPr>
          <w:color w:val="000000"/>
          <w:sz w:val="19"/>
          <w:szCs w:val="19"/>
        </w:rPr>
      </w:pPr>
      <w:r>
        <w:rPr>
          <w:color w:val="000000"/>
          <w:sz w:val="19"/>
          <w:szCs w:val="19"/>
        </w:rPr>
        <w:t>El proveedor no debe:</w:t>
      </w:r>
    </w:p>
    <w:p w14:paraId="4FE092E8" w14:textId="77777777" w:rsidR="002A5039" w:rsidRDefault="002A5039" w:rsidP="002A5039">
      <w:pPr>
        <w:numPr>
          <w:ilvl w:val="1"/>
          <w:numId w:val="16"/>
        </w:numPr>
        <w:pBdr>
          <w:top w:val="nil"/>
          <w:left w:val="nil"/>
          <w:bottom w:val="nil"/>
          <w:right w:val="nil"/>
          <w:between w:val="nil"/>
        </w:pBdr>
        <w:ind w:left="709" w:hanging="283"/>
        <w:rPr>
          <w:color w:val="000000"/>
          <w:sz w:val="19"/>
          <w:szCs w:val="19"/>
        </w:rPr>
      </w:pPr>
      <w:r>
        <w:rPr>
          <w:color w:val="000000"/>
          <w:sz w:val="19"/>
          <w:szCs w:val="19"/>
        </w:rPr>
        <w:t xml:space="preserve">Ser un miembro del equipo de la propuesta o sus cónyuges o sus parientes hasta el cuarto grado de consanguinidad o segundo de afinidad </w:t>
      </w:r>
    </w:p>
    <w:p w14:paraId="7570A711" w14:textId="77777777" w:rsidR="002A5039" w:rsidRDefault="002A5039" w:rsidP="002A5039">
      <w:pPr>
        <w:numPr>
          <w:ilvl w:val="1"/>
          <w:numId w:val="16"/>
        </w:numPr>
        <w:pBdr>
          <w:top w:val="nil"/>
          <w:left w:val="nil"/>
          <w:bottom w:val="nil"/>
          <w:right w:val="nil"/>
          <w:between w:val="nil"/>
        </w:pBdr>
        <w:ind w:left="709" w:hanging="283"/>
        <w:rPr>
          <w:color w:val="000000"/>
          <w:sz w:val="19"/>
          <w:szCs w:val="19"/>
        </w:rPr>
      </w:pPr>
      <w:r>
        <w:rPr>
          <w:color w:val="000000"/>
          <w:sz w:val="19"/>
          <w:szCs w:val="19"/>
        </w:rPr>
        <w:t>Ser un integrante de los órganos de administración, apoderado o representante legal, socio, accionista, participacionista o titular de la EE o EA(s), o sus cónyuges o sus parientes hasta el cuarto grado de consanguinidad o segundo de afinidad</w:t>
      </w:r>
    </w:p>
    <w:p w14:paraId="7DC640BE" w14:textId="77777777" w:rsidR="002A5039" w:rsidRDefault="002A5039" w:rsidP="002A5039">
      <w:pPr>
        <w:numPr>
          <w:ilvl w:val="1"/>
          <w:numId w:val="16"/>
        </w:numPr>
        <w:pBdr>
          <w:top w:val="nil"/>
          <w:left w:val="nil"/>
          <w:bottom w:val="nil"/>
          <w:right w:val="nil"/>
          <w:between w:val="nil"/>
        </w:pBdr>
        <w:ind w:left="709" w:hanging="283"/>
        <w:rPr>
          <w:color w:val="000000"/>
          <w:sz w:val="19"/>
          <w:szCs w:val="19"/>
        </w:rPr>
      </w:pPr>
      <w:r>
        <w:rPr>
          <w:color w:val="000000"/>
          <w:sz w:val="19"/>
          <w:szCs w:val="19"/>
        </w:rPr>
        <w:t>Ser una entidad parte de la EE o EA(s).</w:t>
      </w:r>
    </w:p>
    <w:p w14:paraId="39AEA5BF" w14:textId="77777777" w:rsidR="002A5039" w:rsidRDefault="002A5039" w:rsidP="002A5039">
      <w:pPr>
        <w:numPr>
          <w:ilvl w:val="1"/>
          <w:numId w:val="16"/>
        </w:numPr>
        <w:pBdr>
          <w:top w:val="nil"/>
          <w:left w:val="nil"/>
          <w:bottom w:val="nil"/>
          <w:right w:val="nil"/>
          <w:between w:val="nil"/>
        </w:pBdr>
        <w:ind w:left="709" w:hanging="283"/>
        <w:rPr>
          <w:color w:val="000000"/>
          <w:sz w:val="19"/>
          <w:szCs w:val="19"/>
        </w:rPr>
      </w:pPr>
      <w:r>
        <w:rPr>
          <w:color w:val="000000"/>
          <w:sz w:val="19"/>
          <w:szCs w:val="19"/>
        </w:rPr>
        <w:t>Ser una entidad que tenga, respecto a la EE o EA(s), la calidad de matriz o filial.</w:t>
      </w:r>
    </w:p>
    <w:p w14:paraId="7C195970" w14:textId="77777777" w:rsidR="002A5039" w:rsidRDefault="002A5039" w:rsidP="002A5039">
      <w:pPr>
        <w:rPr>
          <w:b/>
          <w:sz w:val="19"/>
          <w:szCs w:val="19"/>
          <w:highlight w:val="lightGray"/>
        </w:rPr>
      </w:pPr>
    </w:p>
    <w:p w14:paraId="738921B5" w14:textId="77777777" w:rsidR="002A5039" w:rsidRDefault="002A5039" w:rsidP="002A5039">
      <w:pPr>
        <w:numPr>
          <w:ilvl w:val="0"/>
          <w:numId w:val="15"/>
        </w:numPr>
        <w:pBdr>
          <w:top w:val="nil"/>
          <w:left w:val="nil"/>
          <w:bottom w:val="nil"/>
          <w:right w:val="nil"/>
          <w:between w:val="nil"/>
        </w:pBdr>
        <w:rPr>
          <w:color w:val="000000"/>
          <w:sz w:val="19"/>
          <w:szCs w:val="19"/>
        </w:rPr>
      </w:pPr>
      <w:r>
        <w:rPr>
          <w:b/>
          <w:color w:val="000000"/>
          <w:sz w:val="19"/>
          <w:szCs w:val="19"/>
        </w:rPr>
        <w:t>Asesorías Especializadas</w:t>
      </w:r>
      <w:r>
        <w:rPr>
          <w:color w:val="000000"/>
          <w:sz w:val="19"/>
          <w:szCs w:val="19"/>
        </w:rPr>
        <w:t xml:space="preserve"> (Consultorías) </w:t>
      </w:r>
      <w:r>
        <w:rPr>
          <w:i/>
          <w:color w:val="000000"/>
          <w:sz w:val="19"/>
          <w:szCs w:val="19"/>
        </w:rPr>
        <w:t>(hasta 25% del monto financiado por el Programa PROCIENCIA)</w:t>
      </w:r>
    </w:p>
    <w:p w14:paraId="6EDF1F0D" w14:textId="77777777" w:rsidR="002A5039" w:rsidRDefault="002A5039" w:rsidP="002A5039">
      <w:pPr>
        <w:ind w:left="426"/>
        <w:rPr>
          <w:sz w:val="19"/>
          <w:szCs w:val="19"/>
        </w:rPr>
      </w:pPr>
      <w:r>
        <w:rPr>
          <w:sz w:val="19"/>
          <w:szCs w:val="19"/>
        </w:rPr>
        <w:t>Corresponde a los gastos de contratación de personas naturales o jurídicas para la ejecución de actividades de índole técnica especializada consideradas como críticas para lograr el buen resultado de la propuesta: servicios de laboratorio, colección de datos, procesamiento de muestras, análisis y diseño.</w:t>
      </w:r>
    </w:p>
    <w:p w14:paraId="00B73122" w14:textId="77777777" w:rsidR="002A5039" w:rsidRDefault="002A5039" w:rsidP="002A5039">
      <w:pPr>
        <w:rPr>
          <w:b/>
          <w:i/>
          <w:sz w:val="19"/>
          <w:szCs w:val="19"/>
        </w:rPr>
      </w:pPr>
      <w:r>
        <w:rPr>
          <w:b/>
          <w:i/>
          <w:sz w:val="19"/>
          <w:szCs w:val="19"/>
        </w:rPr>
        <w:t>Consideraciones</w:t>
      </w:r>
    </w:p>
    <w:p w14:paraId="0EE49F20" w14:textId="77777777" w:rsidR="002A5039" w:rsidRDefault="002A5039" w:rsidP="002A5039">
      <w:pPr>
        <w:numPr>
          <w:ilvl w:val="0"/>
          <w:numId w:val="17"/>
        </w:numPr>
        <w:pBdr>
          <w:top w:val="nil"/>
          <w:left w:val="nil"/>
          <w:bottom w:val="nil"/>
          <w:right w:val="nil"/>
          <w:between w:val="nil"/>
        </w:pBdr>
        <w:ind w:left="426" w:hanging="284"/>
        <w:rPr>
          <w:color w:val="000000"/>
          <w:sz w:val="19"/>
          <w:szCs w:val="19"/>
        </w:rPr>
      </w:pPr>
      <w:r>
        <w:rPr>
          <w:color w:val="000000"/>
          <w:sz w:val="19"/>
          <w:szCs w:val="19"/>
        </w:rPr>
        <w:t>Los proveedores de las consultorías pueden ser de carácter nacional o extranjero y son a todo costo</w:t>
      </w:r>
      <w:r>
        <w:rPr>
          <w:color w:val="000000"/>
          <w:sz w:val="19"/>
          <w:szCs w:val="19"/>
          <w:vertAlign w:val="superscript"/>
        </w:rPr>
        <w:footnoteReference w:id="4"/>
      </w:r>
      <w:r>
        <w:rPr>
          <w:color w:val="000000"/>
          <w:sz w:val="19"/>
          <w:szCs w:val="19"/>
        </w:rPr>
        <w:t xml:space="preserve"> (incluyen honorarios, viáticos, pasajes, etc.). </w:t>
      </w:r>
    </w:p>
    <w:p w14:paraId="73B943D3" w14:textId="77777777" w:rsidR="002A5039" w:rsidRDefault="002A5039" w:rsidP="002A5039">
      <w:pPr>
        <w:numPr>
          <w:ilvl w:val="0"/>
          <w:numId w:val="17"/>
        </w:numPr>
        <w:pBdr>
          <w:top w:val="nil"/>
          <w:left w:val="nil"/>
          <w:bottom w:val="nil"/>
          <w:right w:val="nil"/>
          <w:between w:val="nil"/>
        </w:pBdr>
        <w:ind w:left="426" w:hanging="284"/>
        <w:rPr>
          <w:color w:val="000000"/>
          <w:sz w:val="19"/>
          <w:szCs w:val="19"/>
        </w:rPr>
      </w:pPr>
      <w:bookmarkStart w:id="4" w:name="_heading=h.1ci93xb" w:colFirst="0" w:colLast="0"/>
      <w:bookmarkEnd w:id="4"/>
      <w:r>
        <w:rPr>
          <w:color w:val="000000"/>
          <w:sz w:val="19"/>
          <w:szCs w:val="19"/>
        </w:rPr>
        <w:t xml:space="preserve">Aplican las mismas consideraciones que para el rubro financiable “Materiales e Insumos”. </w:t>
      </w:r>
    </w:p>
    <w:p w14:paraId="256BD9A5" w14:textId="77777777" w:rsidR="002A5039" w:rsidRDefault="002A5039" w:rsidP="002A5039">
      <w:pPr>
        <w:numPr>
          <w:ilvl w:val="0"/>
          <w:numId w:val="17"/>
        </w:numPr>
        <w:pBdr>
          <w:top w:val="nil"/>
          <w:left w:val="nil"/>
          <w:bottom w:val="nil"/>
          <w:right w:val="nil"/>
          <w:between w:val="nil"/>
        </w:pBdr>
        <w:ind w:left="426" w:hanging="284"/>
        <w:rPr>
          <w:color w:val="000000"/>
          <w:sz w:val="19"/>
          <w:szCs w:val="19"/>
        </w:rPr>
      </w:pPr>
      <w:bookmarkStart w:id="5" w:name="_heading=h.3whwml4" w:colFirst="0" w:colLast="0"/>
      <w:bookmarkEnd w:id="5"/>
      <w:r>
        <w:rPr>
          <w:color w:val="000000"/>
          <w:sz w:val="19"/>
          <w:szCs w:val="19"/>
        </w:rPr>
        <w:t>El proveedor no deberá tener vínculo con la Entidad Ejecutora.</w:t>
      </w:r>
    </w:p>
    <w:p w14:paraId="35896509" w14:textId="77777777" w:rsidR="002A5039" w:rsidRDefault="002A5039" w:rsidP="002A5039">
      <w:pPr>
        <w:numPr>
          <w:ilvl w:val="0"/>
          <w:numId w:val="17"/>
        </w:numPr>
        <w:pBdr>
          <w:top w:val="nil"/>
          <w:left w:val="nil"/>
          <w:bottom w:val="nil"/>
          <w:right w:val="nil"/>
          <w:between w:val="nil"/>
        </w:pBdr>
        <w:ind w:left="426" w:hanging="284"/>
        <w:rPr>
          <w:color w:val="000000"/>
          <w:sz w:val="19"/>
          <w:szCs w:val="19"/>
        </w:rPr>
      </w:pPr>
      <w:r>
        <w:rPr>
          <w:color w:val="000000"/>
          <w:sz w:val="19"/>
          <w:szCs w:val="19"/>
        </w:rPr>
        <w:lastRenderedPageBreak/>
        <w:t>El pago de asesorías especializadas no contempla el pago de remuneraciones mensuales, debe ser en la modalidad de pago por entrega de producto.</w:t>
      </w:r>
    </w:p>
    <w:p w14:paraId="72F5D8CB" w14:textId="77777777" w:rsidR="002A5039" w:rsidRDefault="002A5039" w:rsidP="002A5039">
      <w:pPr>
        <w:ind w:left="426"/>
        <w:rPr>
          <w:sz w:val="19"/>
          <w:szCs w:val="19"/>
        </w:rPr>
      </w:pPr>
    </w:p>
    <w:p w14:paraId="5C8ACB5F" w14:textId="77777777" w:rsidR="002A5039" w:rsidRDefault="002A5039" w:rsidP="002A5039">
      <w:pPr>
        <w:numPr>
          <w:ilvl w:val="0"/>
          <w:numId w:val="15"/>
        </w:numPr>
        <w:pBdr>
          <w:top w:val="nil"/>
          <w:left w:val="nil"/>
          <w:bottom w:val="nil"/>
          <w:right w:val="nil"/>
          <w:between w:val="nil"/>
        </w:pBdr>
        <w:rPr>
          <w:b/>
          <w:color w:val="000000"/>
          <w:sz w:val="19"/>
          <w:szCs w:val="19"/>
        </w:rPr>
      </w:pPr>
      <w:r>
        <w:rPr>
          <w:b/>
          <w:color w:val="000000"/>
          <w:sz w:val="19"/>
          <w:szCs w:val="19"/>
        </w:rPr>
        <w:t xml:space="preserve">Servicio de Terceros </w:t>
      </w:r>
      <w:r>
        <w:rPr>
          <w:i/>
          <w:color w:val="000000"/>
          <w:sz w:val="19"/>
          <w:szCs w:val="19"/>
        </w:rPr>
        <w:t>(hasta 25% del monto financiado por el Programa PROCIENCIA)</w:t>
      </w:r>
    </w:p>
    <w:p w14:paraId="53A8DD71" w14:textId="77777777" w:rsidR="002A5039" w:rsidRDefault="002A5039" w:rsidP="002A5039">
      <w:pPr>
        <w:ind w:left="426"/>
        <w:rPr>
          <w:sz w:val="19"/>
          <w:szCs w:val="19"/>
        </w:rPr>
      </w:pPr>
      <w:r>
        <w:rPr>
          <w:sz w:val="19"/>
          <w:szCs w:val="19"/>
        </w:rPr>
        <w:t xml:space="preserve">Corresponde a los gastos de contratación de personas naturales o jurídicas para la ejecución de </w:t>
      </w:r>
      <w:r>
        <w:rPr>
          <w:sz w:val="19"/>
          <w:szCs w:val="19"/>
          <w:u w:val="single"/>
        </w:rPr>
        <w:t>actividades complementarias</w:t>
      </w:r>
      <w:r>
        <w:rPr>
          <w:sz w:val="19"/>
          <w:szCs w:val="19"/>
        </w:rPr>
        <w:t xml:space="preserve"> dentro de la propuesta, tales como:</w:t>
      </w:r>
    </w:p>
    <w:p w14:paraId="10442167" w14:textId="77777777" w:rsidR="002A5039" w:rsidRDefault="002A5039" w:rsidP="002A5039">
      <w:pPr>
        <w:rPr>
          <w:sz w:val="19"/>
          <w:szCs w:val="19"/>
        </w:rPr>
      </w:pPr>
    </w:p>
    <w:p w14:paraId="20C22EBB" w14:textId="77777777" w:rsidR="002A5039" w:rsidRDefault="002A5039" w:rsidP="002A5039">
      <w:pPr>
        <w:numPr>
          <w:ilvl w:val="1"/>
          <w:numId w:val="12"/>
        </w:numPr>
        <w:pBdr>
          <w:top w:val="nil"/>
          <w:left w:val="nil"/>
          <w:bottom w:val="nil"/>
          <w:right w:val="nil"/>
          <w:between w:val="nil"/>
        </w:pBdr>
        <w:rPr>
          <w:color w:val="000000"/>
          <w:sz w:val="19"/>
          <w:szCs w:val="19"/>
        </w:rPr>
      </w:pPr>
      <w:r>
        <w:rPr>
          <w:color w:val="000000"/>
          <w:sz w:val="19"/>
          <w:szCs w:val="19"/>
        </w:rPr>
        <w:t xml:space="preserve">Actividades de difusión: </w:t>
      </w:r>
    </w:p>
    <w:p w14:paraId="54878C41" w14:textId="77777777" w:rsidR="002A5039" w:rsidRDefault="002A5039" w:rsidP="002A5039">
      <w:pPr>
        <w:numPr>
          <w:ilvl w:val="2"/>
          <w:numId w:val="13"/>
        </w:numPr>
        <w:pBdr>
          <w:top w:val="nil"/>
          <w:left w:val="nil"/>
          <w:bottom w:val="nil"/>
          <w:right w:val="nil"/>
          <w:between w:val="nil"/>
        </w:pBdr>
        <w:ind w:left="993"/>
        <w:rPr>
          <w:color w:val="000000"/>
          <w:sz w:val="19"/>
          <w:szCs w:val="19"/>
        </w:rPr>
      </w:pPr>
      <w:r>
        <w:rPr>
          <w:color w:val="000000"/>
          <w:sz w:val="19"/>
          <w:szCs w:val="19"/>
        </w:rPr>
        <w:t>Gastos de organización del taller de cierre del proyecto (no se considerarán gastos de alquiler de local).</w:t>
      </w:r>
    </w:p>
    <w:p w14:paraId="6F1C8F06" w14:textId="77777777" w:rsidR="002A5039" w:rsidRDefault="002A5039" w:rsidP="002A5039">
      <w:pPr>
        <w:numPr>
          <w:ilvl w:val="2"/>
          <w:numId w:val="13"/>
        </w:numPr>
        <w:pBdr>
          <w:top w:val="nil"/>
          <w:left w:val="nil"/>
          <w:bottom w:val="nil"/>
          <w:right w:val="nil"/>
          <w:between w:val="nil"/>
        </w:pBdr>
        <w:ind w:left="993"/>
        <w:rPr>
          <w:color w:val="000000"/>
          <w:sz w:val="19"/>
          <w:szCs w:val="19"/>
        </w:rPr>
      </w:pPr>
      <w:r>
        <w:rPr>
          <w:color w:val="000000"/>
          <w:sz w:val="19"/>
          <w:szCs w:val="19"/>
        </w:rPr>
        <w:t>Costo de publicación de artículos en revistas indizadas, de preferencia de acceso abierto.</w:t>
      </w:r>
    </w:p>
    <w:p w14:paraId="35A7CB39" w14:textId="77777777" w:rsidR="002A5039" w:rsidRDefault="002A5039" w:rsidP="002A5039">
      <w:pPr>
        <w:numPr>
          <w:ilvl w:val="2"/>
          <w:numId w:val="13"/>
        </w:numPr>
        <w:pBdr>
          <w:top w:val="nil"/>
          <w:left w:val="nil"/>
          <w:bottom w:val="nil"/>
          <w:right w:val="nil"/>
          <w:between w:val="nil"/>
        </w:pBdr>
        <w:ind w:left="993"/>
        <w:rPr>
          <w:color w:val="000000"/>
          <w:sz w:val="19"/>
          <w:szCs w:val="19"/>
        </w:rPr>
      </w:pPr>
      <w:r>
        <w:rPr>
          <w:color w:val="000000"/>
          <w:sz w:val="19"/>
          <w:szCs w:val="19"/>
        </w:rPr>
        <w:t>Costo de inscripción para participar en eventos o para discutir los resultados con personal interesado o calificado.</w:t>
      </w:r>
    </w:p>
    <w:p w14:paraId="012C0EDF" w14:textId="77777777" w:rsidR="002A5039" w:rsidRDefault="002A5039" w:rsidP="002A5039">
      <w:pPr>
        <w:pBdr>
          <w:top w:val="nil"/>
          <w:left w:val="nil"/>
          <w:bottom w:val="nil"/>
          <w:right w:val="nil"/>
          <w:between w:val="nil"/>
        </w:pBdr>
        <w:ind w:left="1080"/>
        <w:rPr>
          <w:color w:val="000000"/>
          <w:sz w:val="19"/>
          <w:szCs w:val="19"/>
        </w:rPr>
      </w:pPr>
    </w:p>
    <w:p w14:paraId="1243273A" w14:textId="77777777" w:rsidR="002A5039" w:rsidRDefault="002A5039" w:rsidP="002A5039">
      <w:pPr>
        <w:rPr>
          <w:sz w:val="19"/>
          <w:szCs w:val="19"/>
        </w:rPr>
      </w:pPr>
      <w:bookmarkStart w:id="6" w:name="_heading=h.2bn6wsx" w:colFirst="0" w:colLast="0"/>
      <w:bookmarkEnd w:id="6"/>
      <w:r>
        <w:rPr>
          <w:sz w:val="19"/>
          <w:szCs w:val="19"/>
        </w:rPr>
        <w:t xml:space="preserve">*Considerar la realización de talleres virtuales </w:t>
      </w:r>
      <w:proofErr w:type="gramStart"/>
      <w:r>
        <w:rPr>
          <w:sz w:val="19"/>
          <w:szCs w:val="19"/>
        </w:rPr>
        <w:t>de acuerdo a</w:t>
      </w:r>
      <w:proofErr w:type="gramEnd"/>
      <w:r>
        <w:rPr>
          <w:sz w:val="19"/>
          <w:szCs w:val="19"/>
        </w:rPr>
        <w:t xml:space="preserve"> la coyuntura existente en el momento de la realización de la actividad de difusión.</w:t>
      </w:r>
    </w:p>
    <w:p w14:paraId="3544A7FA" w14:textId="77777777" w:rsidR="002A5039" w:rsidRDefault="002A5039" w:rsidP="002A5039">
      <w:pPr>
        <w:rPr>
          <w:sz w:val="19"/>
          <w:szCs w:val="19"/>
        </w:rPr>
      </w:pPr>
    </w:p>
    <w:p w14:paraId="25ECE0E0" w14:textId="77777777" w:rsidR="002A5039" w:rsidRDefault="002A5039" w:rsidP="002A5039">
      <w:pPr>
        <w:numPr>
          <w:ilvl w:val="1"/>
          <w:numId w:val="12"/>
        </w:numPr>
        <w:pBdr>
          <w:top w:val="nil"/>
          <w:left w:val="nil"/>
          <w:bottom w:val="nil"/>
          <w:right w:val="nil"/>
          <w:between w:val="nil"/>
        </w:pBdr>
        <w:rPr>
          <w:color w:val="000000"/>
          <w:sz w:val="19"/>
          <w:szCs w:val="19"/>
        </w:rPr>
      </w:pPr>
      <w:r>
        <w:rPr>
          <w:color w:val="000000"/>
          <w:sz w:val="19"/>
          <w:szCs w:val="19"/>
        </w:rPr>
        <w:t xml:space="preserve">Actividades complementarias de la investigación: </w:t>
      </w:r>
    </w:p>
    <w:p w14:paraId="0B7BB24E" w14:textId="77777777" w:rsidR="002A5039" w:rsidRDefault="002A5039" w:rsidP="002A5039">
      <w:pPr>
        <w:numPr>
          <w:ilvl w:val="2"/>
          <w:numId w:val="12"/>
        </w:numPr>
        <w:pBdr>
          <w:top w:val="nil"/>
          <w:left w:val="nil"/>
          <w:bottom w:val="nil"/>
          <w:right w:val="nil"/>
          <w:between w:val="nil"/>
        </w:pBdr>
        <w:ind w:left="993"/>
        <w:rPr>
          <w:color w:val="000000"/>
          <w:sz w:val="19"/>
          <w:szCs w:val="19"/>
        </w:rPr>
      </w:pPr>
      <w:r>
        <w:rPr>
          <w:color w:val="000000"/>
          <w:sz w:val="19"/>
          <w:szCs w:val="19"/>
        </w:rPr>
        <w:t>Gastos de organización de actividades de capacitación y/o entrenamiento</w:t>
      </w:r>
    </w:p>
    <w:p w14:paraId="237409A8" w14:textId="77777777" w:rsidR="002A5039" w:rsidRDefault="002A5039" w:rsidP="002A5039">
      <w:pPr>
        <w:numPr>
          <w:ilvl w:val="2"/>
          <w:numId w:val="12"/>
        </w:numPr>
        <w:pBdr>
          <w:top w:val="nil"/>
          <w:left w:val="nil"/>
          <w:bottom w:val="nil"/>
          <w:right w:val="nil"/>
          <w:between w:val="nil"/>
        </w:pBdr>
        <w:ind w:left="993"/>
        <w:rPr>
          <w:color w:val="000000"/>
          <w:sz w:val="19"/>
          <w:szCs w:val="19"/>
        </w:rPr>
      </w:pPr>
      <w:r>
        <w:rPr>
          <w:color w:val="000000"/>
          <w:sz w:val="19"/>
          <w:szCs w:val="19"/>
        </w:rPr>
        <w:t>Gastos de importación y desaduanaje de materiales, insumos o equipos que se adquieran en el extranjero.</w:t>
      </w:r>
    </w:p>
    <w:p w14:paraId="35A32D6A" w14:textId="77777777" w:rsidR="002A5039" w:rsidRDefault="002A5039" w:rsidP="002A5039">
      <w:pPr>
        <w:numPr>
          <w:ilvl w:val="2"/>
          <w:numId w:val="12"/>
        </w:numPr>
        <w:pBdr>
          <w:top w:val="nil"/>
          <w:left w:val="nil"/>
          <w:bottom w:val="nil"/>
          <w:right w:val="nil"/>
          <w:between w:val="nil"/>
        </w:pBdr>
        <w:ind w:left="993"/>
        <w:rPr>
          <w:color w:val="000000"/>
          <w:sz w:val="19"/>
          <w:szCs w:val="19"/>
        </w:rPr>
      </w:pPr>
      <w:r>
        <w:rPr>
          <w:color w:val="000000"/>
          <w:sz w:val="19"/>
          <w:szCs w:val="19"/>
        </w:rPr>
        <w:t>Gastos de importación y desaduanaje de materiales, insumos o equipos que sean donados por la entidad asociada extranjera. En casos de donación, los equipos pueden ser nuevos o de segunda mano.</w:t>
      </w:r>
    </w:p>
    <w:p w14:paraId="50120041" w14:textId="77777777" w:rsidR="002A5039" w:rsidRDefault="002A5039" w:rsidP="002A5039">
      <w:pPr>
        <w:numPr>
          <w:ilvl w:val="2"/>
          <w:numId w:val="12"/>
        </w:numPr>
        <w:pBdr>
          <w:top w:val="nil"/>
          <w:left w:val="nil"/>
          <w:bottom w:val="nil"/>
          <w:right w:val="nil"/>
          <w:between w:val="nil"/>
        </w:pBdr>
        <w:ind w:left="993"/>
        <w:rPr>
          <w:color w:val="000000"/>
          <w:sz w:val="19"/>
          <w:szCs w:val="19"/>
        </w:rPr>
      </w:pPr>
      <w:r>
        <w:rPr>
          <w:color w:val="000000"/>
          <w:sz w:val="19"/>
          <w:szCs w:val="19"/>
        </w:rPr>
        <w:t>Alquiler de vehículos y combustible para el traslado de materiales y equipos para el desarrollo de las actividades.</w:t>
      </w:r>
    </w:p>
    <w:p w14:paraId="5DA09D5F" w14:textId="77777777" w:rsidR="002A5039" w:rsidRDefault="002A5039" w:rsidP="002A5039">
      <w:pPr>
        <w:numPr>
          <w:ilvl w:val="2"/>
          <w:numId w:val="12"/>
        </w:numPr>
        <w:pBdr>
          <w:top w:val="nil"/>
          <w:left w:val="nil"/>
          <w:bottom w:val="nil"/>
          <w:right w:val="nil"/>
          <w:between w:val="nil"/>
        </w:pBdr>
        <w:ind w:left="993"/>
        <w:rPr>
          <w:color w:val="000000"/>
          <w:sz w:val="19"/>
          <w:szCs w:val="19"/>
        </w:rPr>
      </w:pPr>
      <w:r>
        <w:rPr>
          <w:color w:val="000000"/>
          <w:sz w:val="19"/>
          <w:szCs w:val="19"/>
        </w:rPr>
        <w:t>Servicios de adecuación, acondicionamiento, mejora o renovación de los ambientes de trabajo donde se desarrollan las actividades (preparación de terreno, conexión a servicios básicos, mejoramiento de infraestructura, instalación de equipamiento, otros).</w:t>
      </w:r>
    </w:p>
    <w:p w14:paraId="75C22498" w14:textId="77777777" w:rsidR="002A5039" w:rsidRDefault="002A5039" w:rsidP="002A5039">
      <w:pPr>
        <w:numPr>
          <w:ilvl w:val="2"/>
          <w:numId w:val="12"/>
        </w:numPr>
        <w:pBdr>
          <w:top w:val="nil"/>
          <w:left w:val="nil"/>
          <w:bottom w:val="nil"/>
          <w:right w:val="nil"/>
          <w:between w:val="nil"/>
        </w:pBdr>
        <w:ind w:left="993"/>
        <w:rPr>
          <w:color w:val="000000"/>
          <w:sz w:val="19"/>
          <w:szCs w:val="19"/>
        </w:rPr>
      </w:pPr>
      <w:r>
        <w:rPr>
          <w:color w:val="000000"/>
          <w:sz w:val="19"/>
          <w:szCs w:val="19"/>
        </w:rPr>
        <w:t>Gastos de mantenimiento de los equipos adquiridos o los que ya se tienen, pero que se encuentren operativos.</w:t>
      </w:r>
    </w:p>
    <w:p w14:paraId="3402C851" w14:textId="77777777" w:rsidR="002A5039" w:rsidRDefault="002A5039" w:rsidP="002A5039">
      <w:pPr>
        <w:numPr>
          <w:ilvl w:val="2"/>
          <w:numId w:val="12"/>
        </w:numPr>
        <w:pBdr>
          <w:top w:val="nil"/>
          <w:left w:val="nil"/>
          <w:bottom w:val="nil"/>
          <w:right w:val="nil"/>
          <w:between w:val="nil"/>
        </w:pBdr>
        <w:ind w:left="993"/>
        <w:rPr>
          <w:color w:val="000000"/>
          <w:sz w:val="19"/>
          <w:szCs w:val="19"/>
        </w:rPr>
      </w:pPr>
      <w:r>
        <w:rPr>
          <w:color w:val="000000"/>
          <w:sz w:val="19"/>
          <w:szCs w:val="19"/>
        </w:rPr>
        <w:t>Solicitud de registro de patentes.</w:t>
      </w:r>
    </w:p>
    <w:p w14:paraId="69CB90E2" w14:textId="77777777" w:rsidR="002A5039" w:rsidRDefault="002A5039" w:rsidP="002A5039">
      <w:pPr>
        <w:numPr>
          <w:ilvl w:val="2"/>
          <w:numId w:val="12"/>
        </w:numPr>
        <w:pBdr>
          <w:top w:val="nil"/>
          <w:left w:val="nil"/>
          <w:bottom w:val="nil"/>
          <w:right w:val="nil"/>
          <w:between w:val="nil"/>
        </w:pBdr>
        <w:ind w:left="993"/>
        <w:rPr>
          <w:color w:val="000000"/>
          <w:sz w:val="19"/>
          <w:szCs w:val="19"/>
        </w:rPr>
      </w:pPr>
      <w:r>
        <w:rPr>
          <w:color w:val="000000"/>
          <w:sz w:val="19"/>
          <w:szCs w:val="19"/>
        </w:rPr>
        <w:t>Gastos asociados al costo de derechos, autorizaciones para investigación/permiso para acceso a recursos genéticos, revisión de comités de ética, en caso de que la ES no cuente con uno en su institución. Asimismo, este rubro contempla la contratación de algún servicio que coadyuven a la obtención de los citados permisos.</w:t>
      </w:r>
    </w:p>
    <w:p w14:paraId="4182168D" w14:textId="77777777" w:rsidR="002A5039" w:rsidRDefault="002A5039" w:rsidP="002A5039">
      <w:pPr>
        <w:rPr>
          <w:b/>
          <w:i/>
          <w:sz w:val="19"/>
          <w:szCs w:val="19"/>
        </w:rPr>
      </w:pPr>
      <w:r>
        <w:rPr>
          <w:b/>
          <w:i/>
          <w:sz w:val="19"/>
          <w:szCs w:val="19"/>
        </w:rPr>
        <w:t>Consideraciones</w:t>
      </w:r>
    </w:p>
    <w:p w14:paraId="36A80101" w14:textId="77777777" w:rsidR="002A5039" w:rsidRDefault="002A5039" w:rsidP="002A5039">
      <w:pPr>
        <w:numPr>
          <w:ilvl w:val="0"/>
          <w:numId w:val="17"/>
        </w:numPr>
        <w:pBdr>
          <w:top w:val="nil"/>
          <w:left w:val="nil"/>
          <w:bottom w:val="nil"/>
          <w:right w:val="nil"/>
          <w:between w:val="nil"/>
        </w:pBdr>
        <w:ind w:left="426" w:hanging="426"/>
        <w:rPr>
          <w:color w:val="000000"/>
          <w:sz w:val="19"/>
          <w:szCs w:val="19"/>
        </w:rPr>
      </w:pPr>
      <w:r>
        <w:rPr>
          <w:color w:val="000000"/>
          <w:sz w:val="19"/>
          <w:szCs w:val="19"/>
        </w:rPr>
        <w:t xml:space="preserve">Aplican las mismas consideraciones que para el rubro financiable “Materiales e Insumos”. </w:t>
      </w:r>
    </w:p>
    <w:p w14:paraId="663B5EC6" w14:textId="77777777" w:rsidR="002A5039" w:rsidRDefault="002A5039" w:rsidP="002A5039">
      <w:pPr>
        <w:rPr>
          <w:sz w:val="19"/>
          <w:szCs w:val="19"/>
          <w:highlight w:val="lightGray"/>
        </w:rPr>
      </w:pPr>
    </w:p>
    <w:p w14:paraId="0EAFC2DA" w14:textId="77777777" w:rsidR="002A5039" w:rsidRDefault="002A5039" w:rsidP="002A5039">
      <w:pPr>
        <w:numPr>
          <w:ilvl w:val="0"/>
          <w:numId w:val="15"/>
        </w:numPr>
        <w:pBdr>
          <w:top w:val="nil"/>
          <w:left w:val="nil"/>
          <w:bottom w:val="nil"/>
          <w:right w:val="nil"/>
          <w:between w:val="nil"/>
        </w:pBdr>
        <w:rPr>
          <w:i/>
          <w:color w:val="000000"/>
          <w:sz w:val="19"/>
          <w:szCs w:val="19"/>
        </w:rPr>
      </w:pPr>
      <w:r>
        <w:rPr>
          <w:b/>
          <w:color w:val="000000"/>
          <w:sz w:val="19"/>
          <w:szCs w:val="19"/>
        </w:rPr>
        <w:t xml:space="preserve">Gastos logísticos de operación </w:t>
      </w:r>
      <w:r>
        <w:rPr>
          <w:i/>
          <w:color w:val="000000"/>
          <w:sz w:val="19"/>
          <w:szCs w:val="19"/>
        </w:rPr>
        <w:t>(Hasta 10% del monto financiado por el Programa PROCIENCIA)</w:t>
      </w:r>
    </w:p>
    <w:p w14:paraId="07D2CE69" w14:textId="77777777" w:rsidR="002A5039" w:rsidRDefault="002A5039" w:rsidP="002A5039">
      <w:pPr>
        <w:pBdr>
          <w:top w:val="nil"/>
          <w:left w:val="nil"/>
          <w:bottom w:val="nil"/>
          <w:right w:val="nil"/>
          <w:between w:val="nil"/>
        </w:pBdr>
        <w:ind w:left="360"/>
        <w:rPr>
          <w:i/>
          <w:color w:val="000000"/>
          <w:sz w:val="19"/>
          <w:szCs w:val="19"/>
        </w:rPr>
      </w:pPr>
      <w:r>
        <w:rPr>
          <w:color w:val="000000"/>
          <w:sz w:val="19"/>
          <w:szCs w:val="19"/>
        </w:rPr>
        <w:t>Corresponde al gasto en útiles de oficina, impresiones u otros gastos logísticos del proyecto. También considera el incentivo monetario para el Gestor de Proyectos</w:t>
      </w:r>
      <w:r>
        <w:rPr>
          <w:color w:val="000000"/>
          <w:sz w:val="19"/>
          <w:szCs w:val="19"/>
          <w:vertAlign w:val="superscript"/>
        </w:rPr>
        <w:footnoteReference w:id="5"/>
      </w:r>
      <w:r>
        <w:rPr>
          <w:color w:val="000000"/>
          <w:sz w:val="19"/>
          <w:szCs w:val="19"/>
        </w:rPr>
        <w:t>, el cual no debe pasar de S/ 1,500 soles mensuales. No cubre gastos administrativos (</w:t>
      </w:r>
      <w:proofErr w:type="spellStart"/>
      <w:r>
        <w:rPr>
          <w:i/>
          <w:color w:val="000000"/>
          <w:sz w:val="19"/>
          <w:szCs w:val="19"/>
        </w:rPr>
        <w:t>Overhead</w:t>
      </w:r>
      <w:proofErr w:type="spellEnd"/>
      <w:r>
        <w:rPr>
          <w:color w:val="000000"/>
          <w:sz w:val="19"/>
          <w:szCs w:val="19"/>
        </w:rPr>
        <w:t>).</w:t>
      </w:r>
    </w:p>
    <w:p w14:paraId="3D4541E0" w14:textId="77777777" w:rsidR="002A5039" w:rsidRDefault="002A5039" w:rsidP="002A5039">
      <w:pPr>
        <w:rPr>
          <w:sz w:val="19"/>
          <w:szCs w:val="19"/>
        </w:rPr>
      </w:pPr>
      <w:bookmarkStart w:id="7" w:name="_heading=h.qsh70q" w:colFirst="0" w:colLast="0"/>
      <w:bookmarkEnd w:id="7"/>
    </w:p>
    <w:p w14:paraId="459590D9" w14:textId="24FCFCE7" w:rsidR="00910B36" w:rsidRPr="002A5039" w:rsidRDefault="002A5039" w:rsidP="002A5039">
      <w:r>
        <w:rPr>
          <w:sz w:val="19"/>
          <w:szCs w:val="19"/>
        </w:rPr>
        <w:t xml:space="preserve">Otros gastos distintos a los especificados en los rubros financiables (numeral 2.4.2) </w:t>
      </w:r>
      <w:r>
        <w:rPr>
          <w:b/>
          <w:sz w:val="19"/>
          <w:szCs w:val="19"/>
        </w:rPr>
        <w:t>no serán asumidos por el Programa PROCIENCIA</w:t>
      </w:r>
      <w:r>
        <w:rPr>
          <w:sz w:val="19"/>
          <w:szCs w:val="19"/>
        </w:rPr>
        <w:t>.</w:t>
      </w:r>
    </w:p>
    <w:sectPr w:rsidR="00910B36" w:rsidRPr="002A5039" w:rsidSect="00DF0C2B">
      <w:headerReference w:type="default" r:id="rId7"/>
      <w:footerReference w:type="default" r:id="rId8"/>
      <w:pgSz w:w="11906" w:h="16838"/>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D6B8" w14:textId="77777777" w:rsidR="007E2294" w:rsidRDefault="007E2294" w:rsidP="00910B36">
      <w:pPr>
        <w:spacing w:line="240" w:lineRule="auto"/>
      </w:pPr>
      <w:r>
        <w:separator/>
      </w:r>
    </w:p>
  </w:endnote>
  <w:endnote w:type="continuationSeparator" w:id="0">
    <w:p w14:paraId="5F0EEABB" w14:textId="77777777" w:rsidR="007E2294" w:rsidRDefault="007E2294" w:rsidP="00910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7460" w14:textId="6C71FE98" w:rsidR="00910B36" w:rsidRPr="00DF0A55" w:rsidRDefault="00910B36" w:rsidP="00910B36">
    <w:pPr>
      <w:tabs>
        <w:tab w:val="left" w:pos="2055"/>
        <w:tab w:val="center" w:pos="4122"/>
        <w:tab w:val="center" w:pos="4550"/>
        <w:tab w:val="left" w:pos="5818"/>
      </w:tabs>
      <w:ind w:right="260"/>
      <w:jc w:val="left"/>
      <w:rPr>
        <w:color w:val="222A35" w:themeColor="text2" w:themeShade="80"/>
        <w:sz w:val="18"/>
        <w:szCs w:val="18"/>
      </w:rPr>
    </w:pPr>
    <w:r w:rsidRPr="00DF0A55">
      <w:rPr>
        <w:noProof/>
        <w:sz w:val="18"/>
        <w:szCs w:val="18"/>
      </w:rPr>
      <w:drawing>
        <wp:anchor distT="0" distB="0" distL="0" distR="0" simplePos="0" relativeHeight="251661312" behindDoc="1" locked="0" layoutInCell="1" hidden="0" allowOverlap="1" wp14:anchorId="6C40ED94" wp14:editId="6D69EC9A">
          <wp:simplePos x="0" y="0"/>
          <wp:positionH relativeFrom="page">
            <wp:align>left</wp:align>
          </wp:positionH>
          <wp:positionV relativeFrom="paragraph">
            <wp:posOffset>-334010</wp:posOffset>
          </wp:positionV>
          <wp:extent cx="7519160" cy="980440"/>
          <wp:effectExtent l="0" t="0" r="0" b="0"/>
          <wp:wrapNone/>
          <wp:docPr id="11" name="image1.png" descr="Imagen que contiene 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Forma&#10;&#10;Descripción generada automáticamente"/>
                  <pic:cNvPicPr preferRelativeResize="0"/>
                </pic:nvPicPr>
                <pic:blipFill>
                  <a:blip r:embed="rId1"/>
                  <a:srcRect t="19632" b="19632"/>
                  <a:stretch>
                    <a:fillRect/>
                  </a:stretch>
                </pic:blipFill>
                <pic:spPr>
                  <a:xfrm>
                    <a:off x="0" y="0"/>
                    <a:ext cx="7519160" cy="980440"/>
                  </a:xfrm>
                  <a:prstGeom prst="rect">
                    <a:avLst/>
                  </a:prstGeom>
                  <a:ln/>
                </pic:spPr>
              </pic:pic>
            </a:graphicData>
          </a:graphic>
        </wp:anchor>
      </w:drawing>
    </w:r>
    <w:r w:rsidRPr="00DF0A55">
      <w:rPr>
        <w:color w:val="8496B0" w:themeColor="text2" w:themeTint="99"/>
        <w:spacing w:val="60"/>
        <w:sz w:val="18"/>
        <w:szCs w:val="18"/>
        <w:lang w:val="es-ES"/>
      </w:rPr>
      <w:t>E041-2023-01</w:t>
    </w:r>
    <w:r w:rsidRPr="00DF0A55">
      <w:rPr>
        <w:color w:val="8496B0" w:themeColor="text2" w:themeTint="99"/>
        <w:spacing w:val="60"/>
        <w:sz w:val="18"/>
        <w:szCs w:val="18"/>
        <w:lang w:val="es-ES"/>
      </w:rPr>
      <w:tab/>
    </w:r>
    <w:r w:rsidRPr="00DF0A55">
      <w:rPr>
        <w:color w:val="8496B0" w:themeColor="text2" w:themeTint="99"/>
        <w:spacing w:val="60"/>
        <w:sz w:val="18"/>
        <w:szCs w:val="18"/>
        <w:lang w:val="es-ES"/>
      </w:rPr>
      <w:tab/>
      <w:t>Página</w:t>
    </w:r>
    <w:r w:rsidRPr="00DF0A55">
      <w:rPr>
        <w:color w:val="8496B0" w:themeColor="text2" w:themeTint="99"/>
        <w:sz w:val="18"/>
        <w:szCs w:val="18"/>
        <w:lang w:val="es-ES"/>
      </w:rPr>
      <w:t xml:space="preserve"> </w:t>
    </w:r>
    <w:r w:rsidRPr="00DF0A55">
      <w:rPr>
        <w:color w:val="323E4F" w:themeColor="text2" w:themeShade="BF"/>
        <w:sz w:val="18"/>
        <w:szCs w:val="18"/>
      </w:rPr>
      <w:fldChar w:fldCharType="begin"/>
    </w:r>
    <w:r w:rsidRPr="00DF0A55">
      <w:rPr>
        <w:color w:val="323E4F" w:themeColor="text2" w:themeShade="BF"/>
        <w:sz w:val="18"/>
        <w:szCs w:val="18"/>
      </w:rPr>
      <w:instrText>PAGE   \* MERGEFORMAT</w:instrText>
    </w:r>
    <w:r w:rsidRPr="00DF0A55">
      <w:rPr>
        <w:color w:val="323E4F" w:themeColor="text2" w:themeShade="BF"/>
        <w:sz w:val="18"/>
        <w:szCs w:val="18"/>
      </w:rPr>
      <w:fldChar w:fldCharType="separate"/>
    </w:r>
    <w:r w:rsidRPr="00DF0A55">
      <w:rPr>
        <w:color w:val="323E4F" w:themeColor="text2" w:themeShade="BF"/>
        <w:sz w:val="18"/>
        <w:szCs w:val="18"/>
        <w:lang w:val="es-ES"/>
      </w:rPr>
      <w:t>1</w:t>
    </w:r>
    <w:r w:rsidRPr="00DF0A55">
      <w:rPr>
        <w:color w:val="323E4F" w:themeColor="text2" w:themeShade="BF"/>
        <w:sz w:val="18"/>
        <w:szCs w:val="18"/>
      </w:rPr>
      <w:fldChar w:fldCharType="end"/>
    </w:r>
    <w:r w:rsidRPr="00DF0A55">
      <w:rPr>
        <w:color w:val="323E4F" w:themeColor="text2" w:themeShade="BF"/>
        <w:sz w:val="18"/>
        <w:szCs w:val="18"/>
        <w:lang w:val="es-ES"/>
      </w:rPr>
      <w:t xml:space="preserve"> | </w:t>
    </w:r>
    <w:r w:rsidRPr="00DF0A55">
      <w:rPr>
        <w:color w:val="323E4F" w:themeColor="text2" w:themeShade="BF"/>
        <w:sz w:val="18"/>
        <w:szCs w:val="18"/>
      </w:rPr>
      <w:fldChar w:fldCharType="begin"/>
    </w:r>
    <w:r w:rsidRPr="00DF0A55">
      <w:rPr>
        <w:color w:val="323E4F" w:themeColor="text2" w:themeShade="BF"/>
        <w:sz w:val="18"/>
        <w:szCs w:val="18"/>
      </w:rPr>
      <w:instrText>NUMPAGES  \* Arabic  \* MERGEFORMAT</w:instrText>
    </w:r>
    <w:r w:rsidRPr="00DF0A55">
      <w:rPr>
        <w:color w:val="323E4F" w:themeColor="text2" w:themeShade="BF"/>
        <w:sz w:val="18"/>
        <w:szCs w:val="18"/>
      </w:rPr>
      <w:fldChar w:fldCharType="separate"/>
    </w:r>
    <w:r w:rsidRPr="00DF0A55">
      <w:rPr>
        <w:color w:val="323E4F" w:themeColor="text2" w:themeShade="BF"/>
        <w:sz w:val="18"/>
        <w:szCs w:val="18"/>
        <w:lang w:val="es-ES"/>
      </w:rPr>
      <w:t>1</w:t>
    </w:r>
    <w:r w:rsidRPr="00DF0A55">
      <w:rPr>
        <w:color w:val="323E4F" w:themeColor="text2" w:themeShade="BF"/>
        <w:sz w:val="18"/>
        <w:szCs w:val="18"/>
      </w:rPr>
      <w:fldChar w:fldCharType="end"/>
    </w:r>
  </w:p>
  <w:p w14:paraId="4F86687C" w14:textId="53EF3048" w:rsidR="00910B36" w:rsidRPr="00DF0A55" w:rsidRDefault="00910B36">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D352" w14:textId="77777777" w:rsidR="007E2294" w:rsidRDefault="007E2294" w:rsidP="00910B36">
      <w:pPr>
        <w:spacing w:line="240" w:lineRule="auto"/>
      </w:pPr>
      <w:r>
        <w:separator/>
      </w:r>
    </w:p>
  </w:footnote>
  <w:footnote w:type="continuationSeparator" w:id="0">
    <w:p w14:paraId="64C19574" w14:textId="77777777" w:rsidR="007E2294" w:rsidRDefault="007E2294" w:rsidP="00910B36">
      <w:pPr>
        <w:spacing w:line="240" w:lineRule="auto"/>
      </w:pPr>
      <w:r>
        <w:continuationSeparator/>
      </w:r>
    </w:p>
  </w:footnote>
  <w:footnote w:id="1">
    <w:p w14:paraId="187EEB2F" w14:textId="77777777" w:rsidR="002A5039" w:rsidRPr="002A5039" w:rsidRDefault="002A5039" w:rsidP="002A5039">
      <w:pPr>
        <w:pBdr>
          <w:top w:val="nil"/>
          <w:left w:val="nil"/>
          <w:bottom w:val="nil"/>
          <w:right w:val="nil"/>
          <w:between w:val="nil"/>
        </w:pBdr>
        <w:spacing w:line="240" w:lineRule="auto"/>
        <w:rPr>
          <w:color w:val="000000"/>
          <w:sz w:val="16"/>
          <w:szCs w:val="16"/>
        </w:rPr>
      </w:pPr>
      <w:r>
        <w:rPr>
          <w:vertAlign w:val="superscript"/>
        </w:rPr>
        <w:footnoteRef/>
      </w:r>
      <w:r>
        <w:rPr>
          <w:color w:val="000000"/>
          <w:sz w:val="20"/>
          <w:szCs w:val="20"/>
        </w:rPr>
        <w:t xml:space="preserve"> </w:t>
      </w:r>
      <w:r w:rsidRPr="002A5039">
        <w:rPr>
          <w:color w:val="000000"/>
          <w:sz w:val="16"/>
          <w:szCs w:val="16"/>
        </w:rPr>
        <w:t xml:space="preserve">Según la Ley de Presupuesto del Sector Público, en la </w:t>
      </w:r>
      <w:sdt>
        <w:sdtPr>
          <w:rPr>
            <w:sz w:val="16"/>
            <w:szCs w:val="16"/>
          </w:rPr>
          <w:tag w:val="goog_rdk_281"/>
          <w:id w:val="763893480"/>
        </w:sdtPr>
        <w:sdtContent>
          <w:r w:rsidRPr="002A5039">
            <w:rPr>
              <w:color w:val="000000"/>
              <w:sz w:val="16"/>
              <w:szCs w:val="16"/>
            </w:rPr>
            <w:t>Ley 31365: Ley de Presupuesto del Sector Público para el año Fiscal 2022</w:t>
          </w:r>
        </w:sdtContent>
      </w:sdt>
      <w:r w:rsidRPr="002A5039">
        <w:rPr>
          <w:color w:val="000000"/>
          <w:sz w:val="16"/>
          <w:szCs w:val="16"/>
        </w:rPr>
        <w:t xml:space="preserve">, </w:t>
      </w:r>
      <w:sdt>
        <w:sdtPr>
          <w:rPr>
            <w:sz w:val="16"/>
            <w:szCs w:val="16"/>
          </w:rPr>
          <w:tag w:val="goog_rdk_282"/>
          <w:id w:val="-40831756"/>
        </w:sdtPr>
        <w:sdtContent>
          <w:r w:rsidRPr="002A5039">
            <w:rPr>
              <w:color w:val="000000"/>
              <w:sz w:val="16"/>
              <w:szCs w:val="16"/>
            </w:rPr>
            <w:t xml:space="preserve">cuyo artículo 70 sobre “Incentivo económico a investigadores que participan en programas y proyectos ejecutados por entidades públicas” </w:t>
          </w:r>
        </w:sdtContent>
      </w:sdt>
      <w:r w:rsidRPr="002A5039">
        <w:rPr>
          <w:color w:val="000000"/>
          <w:sz w:val="16"/>
          <w:szCs w:val="16"/>
        </w:rPr>
        <w:t xml:space="preserve">indica lo siguiente: </w:t>
      </w:r>
      <w:sdt>
        <w:sdtPr>
          <w:rPr>
            <w:sz w:val="16"/>
            <w:szCs w:val="16"/>
          </w:rPr>
          <w:tag w:val="goog_rdk_283"/>
          <w:id w:val="-1791581906"/>
        </w:sdtPr>
        <w:sdtContent>
          <w:r w:rsidRPr="002A5039">
            <w:rPr>
              <w:color w:val="000000"/>
              <w:sz w:val="16"/>
              <w:szCs w:val="16"/>
            </w:rPr>
            <w:t xml:space="preserve">70.1 </w:t>
          </w:r>
          <w:proofErr w:type="spellStart"/>
          <w:r w:rsidRPr="002A5039">
            <w:rPr>
              <w:color w:val="000000"/>
              <w:sz w:val="16"/>
              <w:szCs w:val="16"/>
            </w:rPr>
            <w:t>Dispónese</w:t>
          </w:r>
          <w:proofErr w:type="spellEnd"/>
          <w:r w:rsidRPr="002A5039">
            <w:rPr>
              <w:color w:val="000000"/>
              <w:sz w:val="16"/>
              <w:szCs w:val="16"/>
            </w:rPr>
            <w:t xml:space="preserve"> que, durante el Año Fiscal 2022, las entidades públicas que resulten beneficiarias, como entidades ejecutoras y/o entidades asociadas, de las transferencias efectuadas por el Programa Nacional de Investigación Científica y Estudios Avanzados (PROCIENCIA) para el cofinanciamiento de programas y proyectos en materia de ciencia, tecnología e innovación, quedan autorizadas a otorgar un incentivo económico a los investigadores que participan en el desarrollo de estos programas y proyectos de ciencia, tecnología e innovación</w:t>
          </w:r>
        </w:sdtContent>
      </w:sdt>
      <w:r w:rsidRPr="002A5039">
        <w:rPr>
          <w:color w:val="000000"/>
          <w:sz w:val="16"/>
          <w:szCs w:val="16"/>
        </w:rPr>
        <w:t>.</w:t>
      </w:r>
    </w:p>
  </w:footnote>
  <w:footnote w:id="2">
    <w:p w14:paraId="58112591" w14:textId="77777777" w:rsidR="002A5039" w:rsidRPr="002A5039" w:rsidRDefault="002A5039" w:rsidP="002A5039">
      <w:pPr>
        <w:pBdr>
          <w:top w:val="nil"/>
          <w:left w:val="nil"/>
          <w:bottom w:val="nil"/>
          <w:right w:val="nil"/>
          <w:between w:val="nil"/>
        </w:pBdr>
        <w:spacing w:line="240" w:lineRule="auto"/>
        <w:rPr>
          <w:color w:val="000000"/>
          <w:sz w:val="16"/>
          <w:szCs w:val="16"/>
        </w:rPr>
      </w:pPr>
      <w:r w:rsidRPr="002A5039">
        <w:rPr>
          <w:sz w:val="16"/>
          <w:szCs w:val="16"/>
          <w:vertAlign w:val="superscript"/>
        </w:rPr>
        <w:footnoteRef/>
      </w:r>
      <w:r w:rsidRPr="002A5039">
        <w:rPr>
          <w:color w:val="000000"/>
          <w:sz w:val="16"/>
          <w:szCs w:val="16"/>
        </w:rPr>
        <w:t xml:space="preserve"> Solo aplica en caso de Entidades privadas. En Entidades públicas los incentivos solo están permitidos para los investigadores de acuerdo la </w:t>
      </w:r>
      <w:sdt>
        <w:sdtPr>
          <w:rPr>
            <w:sz w:val="16"/>
            <w:szCs w:val="16"/>
          </w:rPr>
          <w:tag w:val="goog_rdk_284"/>
          <w:id w:val="-1146349107"/>
        </w:sdtPr>
        <w:sdtContent>
          <w:r w:rsidRPr="002A5039">
            <w:rPr>
              <w:color w:val="000000"/>
              <w:sz w:val="16"/>
              <w:szCs w:val="16"/>
            </w:rPr>
            <w:t>Ley 31365: Ley de Presupuesto del Sector Público para el año Fiscal 2022, cuyo artículo 70</w:t>
          </w:r>
        </w:sdtContent>
      </w:sdt>
      <w:r w:rsidRPr="002A5039">
        <w:rPr>
          <w:color w:val="000000"/>
          <w:sz w:val="16"/>
          <w:szCs w:val="16"/>
        </w:rPr>
        <w:t>.</w:t>
      </w:r>
    </w:p>
  </w:footnote>
  <w:footnote w:id="3">
    <w:p w14:paraId="24DB0E0F" w14:textId="77777777" w:rsidR="002A5039" w:rsidRDefault="002A5039" w:rsidP="002A5039">
      <w:pPr>
        <w:pBdr>
          <w:top w:val="nil"/>
          <w:left w:val="nil"/>
          <w:bottom w:val="nil"/>
          <w:right w:val="nil"/>
          <w:between w:val="nil"/>
        </w:pBdr>
        <w:spacing w:line="240" w:lineRule="auto"/>
        <w:rPr>
          <w:color w:val="000000"/>
          <w:sz w:val="20"/>
          <w:szCs w:val="20"/>
        </w:rPr>
      </w:pPr>
      <w:r w:rsidRPr="002A5039">
        <w:rPr>
          <w:sz w:val="16"/>
          <w:szCs w:val="16"/>
          <w:vertAlign w:val="superscript"/>
        </w:rPr>
        <w:footnoteRef/>
      </w:r>
      <w:r w:rsidRPr="002A5039">
        <w:rPr>
          <w:color w:val="000000"/>
          <w:sz w:val="16"/>
          <w:szCs w:val="16"/>
        </w:rPr>
        <w:t xml:space="preserve"> En el caso que la Entidad Ejecutora sea una entidad pública y el gestor tecnológico sea un funcionario y/o servidor público de dicha entidad, el porcentaje valorizado de dedicación al proyecto de su remuneración será considerado como contrapartida no monetaria.</w:t>
      </w:r>
    </w:p>
  </w:footnote>
  <w:footnote w:id="4">
    <w:p w14:paraId="02B71BE3" w14:textId="77777777" w:rsidR="002A5039" w:rsidRPr="002A5039" w:rsidRDefault="002A5039" w:rsidP="002A5039">
      <w:pPr>
        <w:pBdr>
          <w:top w:val="nil"/>
          <w:left w:val="nil"/>
          <w:bottom w:val="nil"/>
          <w:right w:val="nil"/>
          <w:between w:val="nil"/>
        </w:pBdr>
        <w:spacing w:line="240" w:lineRule="auto"/>
        <w:rPr>
          <w:color w:val="000000"/>
          <w:sz w:val="16"/>
          <w:szCs w:val="16"/>
        </w:rPr>
      </w:pPr>
      <w:r w:rsidRPr="002A5039">
        <w:rPr>
          <w:sz w:val="16"/>
          <w:szCs w:val="16"/>
          <w:vertAlign w:val="superscript"/>
        </w:rPr>
        <w:footnoteRef/>
      </w:r>
      <w:r w:rsidRPr="002A5039">
        <w:rPr>
          <w:color w:val="000000"/>
          <w:sz w:val="16"/>
          <w:szCs w:val="16"/>
        </w:rPr>
        <w:t xml:space="preserve"> En el caso de consultorías de personas naturales no domiciliadas se debe considerar el pago del 30% de impuesto a la renta. La EE deberá toma todas las precauciones del caso.</w:t>
      </w:r>
    </w:p>
  </w:footnote>
  <w:footnote w:id="5">
    <w:sdt>
      <w:sdtPr>
        <w:tag w:val="goog_rdk_290"/>
        <w:id w:val="-1230530453"/>
      </w:sdtPr>
      <w:sdtContent>
        <w:p w14:paraId="45B57D0D" w14:textId="77777777" w:rsidR="002A5039" w:rsidRDefault="002A5039" w:rsidP="002A5039">
          <w:pPr>
            <w:pBdr>
              <w:top w:val="nil"/>
              <w:left w:val="nil"/>
              <w:bottom w:val="nil"/>
              <w:right w:val="nil"/>
              <w:between w:val="nil"/>
            </w:pBdr>
            <w:spacing w:line="240" w:lineRule="auto"/>
            <w:rPr>
              <w:color w:val="000000"/>
              <w:sz w:val="16"/>
              <w:szCs w:val="16"/>
            </w:rPr>
          </w:pPr>
          <w:r>
            <w:rPr>
              <w:vertAlign w:val="superscript"/>
            </w:rPr>
            <w:footnoteRef/>
          </w:r>
          <w:sdt>
            <w:sdtPr>
              <w:tag w:val="goog_rdk_289"/>
              <w:id w:val="1634516522"/>
            </w:sdtPr>
            <w:sdtContent>
              <w:r>
                <w:rPr>
                  <w:color w:val="000000"/>
                  <w:sz w:val="16"/>
                  <w:szCs w:val="16"/>
                </w:rPr>
                <w:t xml:space="preserve"> En el caso que la Entidad Ejecutora sea una entidad pública y el gestor de proyectos sea un funcionario y/o servidor público de dicha entidad, el porcentaje valorizado de dedicación al proyecto de su remuneración será considerado como contrapartida no monetaria.</w:t>
              </w:r>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742E" w14:textId="1B53EB78" w:rsidR="00910B36" w:rsidRDefault="00910B36">
    <w:pPr>
      <w:pStyle w:val="Encabezado"/>
    </w:pPr>
    <w:r>
      <w:rPr>
        <w:noProof/>
        <w:lang w:eastAsia="es-PE"/>
      </w:rPr>
      <w:drawing>
        <wp:anchor distT="0" distB="0" distL="114300" distR="114300" simplePos="0" relativeHeight="251659264" behindDoc="1" locked="0" layoutInCell="1" allowOverlap="1" wp14:anchorId="30CAD399" wp14:editId="4A22E9CC">
          <wp:simplePos x="0" y="0"/>
          <wp:positionH relativeFrom="page">
            <wp:align>left</wp:align>
          </wp:positionH>
          <wp:positionV relativeFrom="paragraph">
            <wp:posOffset>-428625</wp:posOffset>
          </wp:positionV>
          <wp:extent cx="7548245" cy="1270000"/>
          <wp:effectExtent l="0" t="0" r="0" b="0"/>
          <wp:wrapSquare wrapText="bothSides"/>
          <wp:docPr id="10" name="Imagen 1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pic:nvPicPr>
                <pic:blipFill>
                  <a:blip r:embed="rId1"/>
                  <a:stretch>
                    <a:fillRect/>
                  </a:stretch>
                </pic:blipFill>
                <pic:spPr>
                  <a:xfrm>
                    <a:off x="0" y="0"/>
                    <a:ext cx="7548245" cy="127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08097678">
    <w:abstractNumId w:val="3"/>
  </w:num>
  <w:num w:numId="2" w16cid:durableId="675232314">
    <w:abstractNumId w:val="5"/>
  </w:num>
  <w:num w:numId="3" w16cid:durableId="191185238">
    <w:abstractNumId w:val="12"/>
  </w:num>
  <w:num w:numId="4" w16cid:durableId="1420247791">
    <w:abstractNumId w:val="0"/>
  </w:num>
  <w:num w:numId="5" w16cid:durableId="420420709">
    <w:abstractNumId w:val="2"/>
  </w:num>
  <w:num w:numId="6" w16cid:durableId="1974754264">
    <w:abstractNumId w:val="1"/>
  </w:num>
  <w:num w:numId="7" w16cid:durableId="913666996">
    <w:abstractNumId w:val="9"/>
  </w:num>
  <w:num w:numId="8" w16cid:durableId="127820711">
    <w:abstractNumId w:val="6"/>
  </w:num>
  <w:num w:numId="9" w16cid:durableId="963727570">
    <w:abstractNumId w:val="13"/>
  </w:num>
  <w:num w:numId="10" w16cid:durableId="1576089043">
    <w:abstractNumId w:val="8"/>
  </w:num>
  <w:num w:numId="11" w16cid:durableId="558899303">
    <w:abstractNumId w:val="10"/>
  </w:num>
  <w:num w:numId="12" w16cid:durableId="1472551622">
    <w:abstractNumId w:val="16"/>
  </w:num>
  <w:num w:numId="13" w16cid:durableId="859969376">
    <w:abstractNumId w:val="7"/>
  </w:num>
  <w:num w:numId="14" w16cid:durableId="1706296436">
    <w:abstractNumId w:val="4"/>
  </w:num>
  <w:num w:numId="15" w16cid:durableId="23288725">
    <w:abstractNumId w:val="11"/>
  </w:num>
  <w:num w:numId="16" w16cid:durableId="710107184">
    <w:abstractNumId w:val="14"/>
  </w:num>
  <w:num w:numId="17" w16cid:durableId="15220857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36"/>
    <w:rsid w:val="000371D5"/>
    <w:rsid w:val="002A5039"/>
    <w:rsid w:val="002C048E"/>
    <w:rsid w:val="007E2294"/>
    <w:rsid w:val="00910B36"/>
    <w:rsid w:val="00AD7885"/>
    <w:rsid w:val="00DF0A55"/>
    <w:rsid w:val="00DF0C2B"/>
    <w:rsid w:val="00E3329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92213"/>
  <w15:chartTrackingRefBased/>
  <w15:docId w15:val="{1A6B2693-DC67-4064-894D-2203218B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B36"/>
    <w:pPr>
      <w:spacing w:after="0" w:line="276" w:lineRule="auto"/>
      <w:jc w:val="both"/>
    </w:pPr>
    <w:rPr>
      <w:rFonts w:ascii="Arial" w:eastAsia="Arial" w:hAnsi="Arial" w:cs="Arial"/>
      <w:lang w:eastAsia="es-ES"/>
    </w:rPr>
  </w:style>
  <w:style w:type="paragraph" w:styleId="Ttulo1">
    <w:name w:val="heading 1"/>
    <w:basedOn w:val="Prrafodelista"/>
    <w:next w:val="Normal"/>
    <w:link w:val="Ttulo1Car"/>
    <w:uiPriority w:val="9"/>
    <w:qFormat/>
    <w:rsid w:val="00910B36"/>
    <w:pPr>
      <w:numPr>
        <w:numId w:val="1"/>
      </w:numPr>
      <w:contextualSpacing w:val="0"/>
      <w:outlineLvl w:val="0"/>
    </w:pPr>
    <w:rPr>
      <w:b/>
      <w:caps/>
    </w:rPr>
  </w:style>
  <w:style w:type="paragraph" w:styleId="Ttulo2">
    <w:name w:val="heading 2"/>
    <w:basedOn w:val="Ttulo1"/>
    <w:next w:val="Normal"/>
    <w:link w:val="Ttulo2Car"/>
    <w:uiPriority w:val="9"/>
    <w:unhideWhenUsed/>
    <w:qFormat/>
    <w:rsid w:val="00910B36"/>
    <w:pPr>
      <w:numPr>
        <w:ilvl w:val="1"/>
      </w:numPr>
      <w:spacing w:after="240"/>
      <w:outlineLvl w:val="1"/>
    </w:pPr>
    <w:rPr>
      <w:caps w:val="0"/>
    </w:rPr>
  </w:style>
  <w:style w:type="paragraph" w:styleId="Ttulo3">
    <w:name w:val="heading 3"/>
    <w:basedOn w:val="Normal"/>
    <w:next w:val="Normal"/>
    <w:link w:val="Ttulo3Car"/>
    <w:uiPriority w:val="9"/>
    <w:unhideWhenUsed/>
    <w:qFormat/>
    <w:rsid w:val="00910B3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Ttulo3"/>
    <w:next w:val="Normal"/>
    <w:link w:val="Ttulo4Car"/>
    <w:uiPriority w:val="9"/>
    <w:unhideWhenUsed/>
    <w:qFormat/>
    <w:rsid w:val="002A5039"/>
    <w:pPr>
      <w:keepNext w:val="0"/>
      <w:keepLines w:val="0"/>
      <w:spacing w:before="0" w:line="360" w:lineRule="auto"/>
      <w:ind w:left="1440" w:hanging="360"/>
      <w:outlineLvl w:val="3"/>
    </w:pPr>
    <w:rPr>
      <w:rFonts w:ascii="Arial" w:eastAsia="Arial" w:hAnsi="Arial" w:cs="Arial"/>
      <w:b/>
      <w:bCs/>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0B36"/>
    <w:rPr>
      <w:rFonts w:ascii="Arial" w:eastAsia="Arial" w:hAnsi="Arial" w:cs="Arial"/>
      <w:b/>
      <w:caps/>
      <w:lang w:eastAsia="es-ES"/>
    </w:rPr>
  </w:style>
  <w:style w:type="character" w:customStyle="1" w:styleId="Ttulo2Car">
    <w:name w:val="Título 2 Car"/>
    <w:basedOn w:val="Fuentedeprrafopredeter"/>
    <w:link w:val="Ttulo2"/>
    <w:uiPriority w:val="9"/>
    <w:rsid w:val="00910B36"/>
    <w:rPr>
      <w:rFonts w:ascii="Arial" w:eastAsia="Arial" w:hAnsi="Arial" w:cs="Arial"/>
      <w:b/>
      <w:lang w:eastAsia="es-ES"/>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910B36"/>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910B36"/>
    <w:rPr>
      <w:rFonts w:ascii="Arial" w:eastAsia="Arial" w:hAnsi="Arial" w:cs="Arial"/>
      <w:sz w:val="20"/>
      <w:szCs w:val="20"/>
      <w:lang w:eastAsia="es-ES"/>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910B36"/>
    <w:rPr>
      <w:vertAlign w:val="superscript"/>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910B36"/>
    <w:pPr>
      <w:ind w:left="720"/>
      <w:contextualSpacing/>
    </w:pPr>
  </w:style>
  <w:style w:type="paragraph" w:styleId="Encabezado">
    <w:name w:val="header"/>
    <w:basedOn w:val="Normal"/>
    <w:link w:val="EncabezadoCar"/>
    <w:uiPriority w:val="99"/>
    <w:unhideWhenUsed/>
    <w:rsid w:val="00910B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10B36"/>
    <w:rPr>
      <w:rFonts w:ascii="Arial" w:eastAsia="Arial" w:hAnsi="Arial" w:cs="Arial"/>
      <w:lang w:eastAsia="es-ES"/>
    </w:rPr>
  </w:style>
  <w:style w:type="paragraph" w:styleId="Piedepgina">
    <w:name w:val="footer"/>
    <w:basedOn w:val="Normal"/>
    <w:link w:val="PiedepginaCar"/>
    <w:uiPriority w:val="99"/>
    <w:unhideWhenUsed/>
    <w:rsid w:val="00910B3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10B36"/>
    <w:rPr>
      <w:rFonts w:ascii="Arial" w:eastAsia="Arial" w:hAnsi="Arial" w:cs="Arial"/>
      <w:lang w:eastAsia="es-ES"/>
    </w:rPr>
  </w:style>
  <w:style w:type="character" w:customStyle="1" w:styleId="Ttulo3Car">
    <w:name w:val="Título 3 Car"/>
    <w:basedOn w:val="Fuentedeprrafopredeter"/>
    <w:link w:val="Ttulo3"/>
    <w:uiPriority w:val="9"/>
    <w:rsid w:val="00910B36"/>
    <w:rPr>
      <w:rFonts w:asciiTheme="majorHAnsi" w:eastAsiaTheme="majorEastAsia" w:hAnsiTheme="majorHAnsi" w:cstheme="majorBidi"/>
      <w:color w:val="1F3763" w:themeColor="accent1" w:themeShade="7F"/>
      <w:sz w:val="24"/>
      <w:szCs w:val="24"/>
      <w:lang w:eastAsia="es-ES"/>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DF0A55"/>
    <w:rPr>
      <w:rFonts w:ascii="Arial" w:eastAsia="Arial" w:hAnsi="Arial" w:cs="Arial"/>
      <w:lang w:eastAsia="es-ES"/>
    </w:rPr>
  </w:style>
  <w:style w:type="character" w:customStyle="1" w:styleId="Ttulo4Car">
    <w:name w:val="Título 4 Car"/>
    <w:basedOn w:val="Fuentedeprrafopredeter"/>
    <w:link w:val="Ttulo4"/>
    <w:uiPriority w:val="9"/>
    <w:rsid w:val="002A5039"/>
    <w:rPr>
      <w:rFonts w:ascii="Arial" w:eastAsia="Arial" w:hAnsi="Arial" w:cs="Arial"/>
      <w:b/>
      <w:bCs/>
      <w:sz w:val="20"/>
      <w:szCs w:val="20"/>
      <w:lang w:eastAsia="es-ES"/>
    </w:rPr>
  </w:style>
  <w:style w:type="paragraph" w:customStyle="1" w:styleId="Estilo3">
    <w:name w:val="Estilo3"/>
    <w:basedOn w:val="Normal"/>
    <w:qFormat/>
    <w:rsid w:val="002A5039"/>
    <w:pPr>
      <w:widowControl w:val="0"/>
      <w:numPr>
        <w:numId w:val="12"/>
      </w:numPr>
      <w:contextualSpacing/>
    </w:pPr>
    <w:rPr>
      <w:shd w:val="clear" w:color="auto" w:fill="FFFFFF"/>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1278</Words>
  <Characters>7029</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Mercedes  Paulini Castro</dc:creator>
  <cp:keywords/>
  <dc:description/>
  <cp:lastModifiedBy>Nathaly Mercedes  Paulini Castro</cp:lastModifiedBy>
  <cp:revision>3</cp:revision>
  <dcterms:created xsi:type="dcterms:W3CDTF">2022-11-23T15:00:00Z</dcterms:created>
  <dcterms:modified xsi:type="dcterms:W3CDTF">2022-11-23T15:03:00Z</dcterms:modified>
</cp:coreProperties>
</file>