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3EC02CAC"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 Especialista en Adquisiciones</w:t>
      </w:r>
      <w:r w:rsidR="009E3407">
        <w:rPr>
          <w:rFonts w:ascii="Arial" w:hAnsi="Arial" w:cs="Arial"/>
          <w:sz w:val="20"/>
          <w:szCs w:val="20"/>
        </w:rPr>
        <w:t xml:space="preserve"> Subproyectos</w:t>
      </w:r>
      <w:r w:rsidR="008821B9" w:rsidRPr="00F94155">
        <w:rPr>
          <w:rFonts w:ascii="Arial" w:hAnsi="Arial" w:cs="Arial"/>
          <w:sz w:val="20"/>
          <w:szCs w:val="20"/>
        </w:rPr>
        <w:t xml:space="preserve"> para el Proyecto,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F94155" w:rsidRDefault="00C77403" w:rsidP="00661C89">
      <w:pPr>
        <w:pStyle w:val="Textoindependiente"/>
        <w:jc w:val="both"/>
        <w:rPr>
          <w:rFonts w:ascii="Arial" w:hAnsi="Arial" w:cs="Arial"/>
          <w:sz w:val="20"/>
          <w:szCs w:val="20"/>
        </w:rPr>
      </w:pPr>
    </w:p>
    <w:p w14:paraId="313B9130" w14:textId="77777777" w:rsidR="00C77403" w:rsidRPr="009E3407" w:rsidRDefault="00C77403" w:rsidP="00661C89">
      <w:pPr>
        <w:pStyle w:val="Textoindependiente"/>
        <w:jc w:val="both"/>
        <w:rPr>
          <w:rFonts w:ascii="Arial" w:hAnsi="Arial" w:cs="Arial"/>
          <w:b/>
          <w:bCs/>
          <w:sz w:val="20"/>
          <w:szCs w:val="20"/>
        </w:rPr>
      </w:pPr>
      <w:r w:rsidRPr="009E3407">
        <w:rPr>
          <w:rFonts w:ascii="Arial" w:hAnsi="Arial" w:cs="Arial"/>
          <w:b/>
          <w:bCs/>
          <w:sz w:val="20"/>
          <w:szCs w:val="20"/>
        </w:rPr>
        <w:t>Perfil Académico</w:t>
      </w:r>
    </w:p>
    <w:p w14:paraId="22AAAB68" w14:textId="77777777" w:rsidR="009E3407" w:rsidRPr="009E3407"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rFonts w:ascii="Arial" w:hAnsi="Arial" w:cs="Arial"/>
          <w:sz w:val="20"/>
          <w:szCs w:val="20"/>
        </w:rPr>
      </w:pPr>
      <w:r w:rsidRPr="009E3407">
        <w:rPr>
          <w:rFonts w:ascii="Arial" w:hAnsi="Arial" w:cs="Arial"/>
          <w:sz w:val="20"/>
          <w:szCs w:val="20"/>
          <w:highlight w:val="white"/>
        </w:rPr>
        <w:t xml:space="preserve">Profesional titulado en </w:t>
      </w:r>
      <w:r w:rsidRPr="009E3407">
        <w:rPr>
          <w:rFonts w:ascii="Arial" w:hAnsi="Arial" w:cs="Arial"/>
          <w:sz w:val="20"/>
          <w:szCs w:val="20"/>
        </w:rPr>
        <w:t>Derecho, Economía, Administración, Contaduría Pública, Ingeniería Administrativa Ingenierías o carreras afines.</w:t>
      </w:r>
    </w:p>
    <w:p w14:paraId="087E8898" w14:textId="77777777" w:rsidR="009E3407" w:rsidRPr="009E3407"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rFonts w:ascii="Arial" w:hAnsi="Arial" w:cs="Arial"/>
          <w:color w:val="000000"/>
          <w:sz w:val="20"/>
          <w:szCs w:val="20"/>
          <w:highlight w:val="white"/>
        </w:rPr>
      </w:pPr>
      <w:r w:rsidRPr="009E3407">
        <w:rPr>
          <w:rFonts w:ascii="Arial" w:eastAsia="Times New Roman" w:hAnsi="Arial" w:cs="Arial"/>
          <w:color w:val="000000"/>
          <w:sz w:val="20"/>
          <w:szCs w:val="20"/>
        </w:rPr>
        <w:t>Deseable cu</w:t>
      </w:r>
      <w:r w:rsidRPr="009E3407">
        <w:rPr>
          <w:rFonts w:ascii="Arial" w:hAnsi="Arial" w:cs="Arial"/>
          <w:sz w:val="20"/>
          <w:szCs w:val="20"/>
          <w:highlight w:val="white"/>
        </w:rPr>
        <w:t xml:space="preserve">rsos de especialización en temas vinculados a la gestión pública. </w:t>
      </w:r>
    </w:p>
    <w:p w14:paraId="794AD5D7" w14:textId="77777777" w:rsidR="009E3407" w:rsidRPr="009E3407" w:rsidRDefault="009E3407" w:rsidP="009E3407">
      <w:pPr>
        <w:pBdr>
          <w:top w:val="nil"/>
          <w:left w:val="nil"/>
          <w:bottom w:val="nil"/>
          <w:right w:val="nil"/>
          <w:between w:val="nil"/>
        </w:pBdr>
        <w:spacing w:line="276" w:lineRule="auto"/>
        <w:ind w:hanging="2"/>
        <w:jc w:val="both"/>
        <w:rPr>
          <w:rFonts w:ascii="Arial" w:hAnsi="Arial" w:cs="Arial"/>
          <w:color w:val="000000"/>
          <w:sz w:val="20"/>
          <w:szCs w:val="20"/>
        </w:rPr>
      </w:pPr>
    </w:p>
    <w:p w14:paraId="46FA9E84" w14:textId="77777777" w:rsidR="009E3407" w:rsidRPr="009E3407" w:rsidRDefault="009E3407" w:rsidP="009E3407">
      <w:pPr>
        <w:pBdr>
          <w:top w:val="nil"/>
          <w:left w:val="nil"/>
          <w:bottom w:val="nil"/>
          <w:right w:val="nil"/>
          <w:between w:val="nil"/>
        </w:pBdr>
        <w:tabs>
          <w:tab w:val="left" w:pos="810"/>
        </w:tabs>
        <w:spacing w:line="276" w:lineRule="auto"/>
        <w:ind w:right="420" w:hanging="2"/>
        <w:jc w:val="both"/>
        <w:rPr>
          <w:rFonts w:ascii="Arial" w:hAnsi="Arial" w:cs="Arial"/>
          <w:color w:val="000000"/>
          <w:sz w:val="20"/>
          <w:szCs w:val="20"/>
        </w:rPr>
      </w:pPr>
      <w:r w:rsidRPr="009E3407">
        <w:rPr>
          <w:rFonts w:ascii="Arial" w:hAnsi="Arial" w:cs="Arial"/>
          <w:b/>
          <w:color w:val="000000"/>
          <w:sz w:val="20"/>
          <w:szCs w:val="20"/>
        </w:rPr>
        <w:t>EXPERIENCIA:</w:t>
      </w:r>
    </w:p>
    <w:p w14:paraId="17A00480" w14:textId="77777777" w:rsidR="009E3407" w:rsidRPr="009E3407"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rFonts w:ascii="Arial" w:hAnsi="Arial" w:cs="Arial"/>
          <w:sz w:val="20"/>
          <w:szCs w:val="20"/>
          <w:highlight w:val="white"/>
        </w:rPr>
      </w:pPr>
      <w:r w:rsidRPr="009E3407">
        <w:rPr>
          <w:rFonts w:ascii="Arial" w:hAnsi="Arial" w:cs="Arial"/>
          <w:sz w:val="20"/>
          <w:szCs w:val="20"/>
          <w:highlight w:val="white"/>
        </w:rPr>
        <w:t xml:space="preserve">Experiencia general laboral de diez (10) años en el sector público y/o privado, y/u organismos internacionales vinculados a su especialidad. </w:t>
      </w:r>
    </w:p>
    <w:p w14:paraId="70D94E1B" w14:textId="77777777" w:rsidR="009E3407" w:rsidRPr="009E3407"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rFonts w:ascii="Arial" w:hAnsi="Arial" w:cs="Arial"/>
          <w:sz w:val="20"/>
          <w:szCs w:val="20"/>
          <w:highlight w:val="white"/>
        </w:rPr>
      </w:pPr>
      <w:r w:rsidRPr="009E3407">
        <w:rPr>
          <w:rFonts w:ascii="Arial" w:hAnsi="Arial" w:cs="Arial"/>
          <w:sz w:val="20"/>
          <w:szCs w:val="20"/>
          <w:highlight w:val="white"/>
        </w:rPr>
        <w:t>Cinco (05) años de experiencia como especialista de adquisiciones y contrataciones aplicando las Normas del BIRF y/o BID en el Sector Público, Privado y/u Organismos internacionales.</w:t>
      </w:r>
    </w:p>
    <w:p w14:paraId="16430C9E" w14:textId="77777777" w:rsidR="00C77403" w:rsidRPr="00F94155" w:rsidRDefault="00C77403" w:rsidP="00661C89">
      <w:pPr>
        <w:pStyle w:val="Textoindependiente"/>
        <w:jc w:val="both"/>
        <w:rPr>
          <w:rFonts w:ascii="Arial" w:hAnsi="Arial" w:cs="Arial"/>
          <w:sz w:val="20"/>
          <w:szCs w:val="20"/>
        </w:rPr>
      </w:pPr>
    </w:p>
    <w:p w14:paraId="2547C9FD"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2A355078"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776632">
        <w:rPr>
          <w:rFonts w:ascii="Arial" w:hAnsi="Arial" w:cs="Arial"/>
          <w:b/>
          <w:sz w:val="20"/>
          <w:szCs w:val="20"/>
        </w:rPr>
        <w:t>jueves</w:t>
      </w:r>
      <w:r w:rsidR="008821B9" w:rsidRPr="00F94155">
        <w:rPr>
          <w:rFonts w:ascii="Arial" w:hAnsi="Arial" w:cs="Arial"/>
          <w:b/>
          <w:sz w:val="20"/>
          <w:szCs w:val="20"/>
        </w:rPr>
        <w:t xml:space="preserve"> 3</w:t>
      </w:r>
      <w:r w:rsidR="00776632">
        <w:rPr>
          <w:rFonts w:ascii="Arial" w:hAnsi="Arial" w:cs="Arial"/>
          <w:b/>
          <w:sz w:val="20"/>
          <w:szCs w:val="20"/>
        </w:rPr>
        <w:t>0</w:t>
      </w:r>
      <w:r w:rsidR="008821B9" w:rsidRPr="00F94155">
        <w:rPr>
          <w:rFonts w:ascii="Arial" w:hAnsi="Arial" w:cs="Arial"/>
          <w:b/>
          <w:sz w:val="20"/>
          <w:szCs w:val="20"/>
        </w:rPr>
        <w:t xml:space="preserve"> 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1D7246E2" w:rsidR="00C77403" w:rsidRPr="00F94155" w:rsidRDefault="00C77403" w:rsidP="00661C89">
      <w:pPr>
        <w:pStyle w:val="Textoindependiente"/>
        <w:jc w:val="both"/>
        <w:rPr>
          <w:rFonts w:ascii="Arial" w:hAnsi="Arial" w:cs="Arial"/>
          <w:b/>
          <w:bCs/>
          <w:sz w:val="20"/>
          <w:szCs w:val="20"/>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 CI </w:t>
      </w:r>
      <w:r w:rsidR="008821B9" w:rsidRPr="00F94155">
        <w:rPr>
          <w:rFonts w:ascii="Arial" w:hAnsi="Arial" w:cs="Arial"/>
          <w:b/>
          <w:bCs/>
          <w:sz w:val="20"/>
          <w:szCs w:val="20"/>
          <w:u w:val="single"/>
          <w:lang w:bidi="es-ES"/>
        </w:rPr>
        <w:t>ESPECIALISTA EN ADQUISICIONES</w:t>
      </w:r>
      <w:r w:rsidR="009E3407">
        <w:rPr>
          <w:rFonts w:ascii="Arial" w:hAnsi="Arial" w:cs="Arial"/>
          <w:b/>
          <w:bCs/>
          <w:sz w:val="20"/>
          <w:szCs w:val="20"/>
          <w:u w:val="single"/>
          <w:lang w:bidi="es-ES"/>
        </w:rPr>
        <w:t xml:space="preserve"> - SUBPROYECTOS</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65EE549F" w14:textId="77777777" w:rsidR="00C77403" w:rsidRPr="00F94155" w:rsidRDefault="00C77403" w:rsidP="00661C89">
      <w:pPr>
        <w:pStyle w:val="Textoindependiente"/>
        <w:jc w:val="both"/>
        <w:rPr>
          <w:rFonts w:ascii="Arial" w:hAnsi="Arial" w:cs="Arial"/>
          <w:sz w:val="18"/>
          <w:szCs w:val="18"/>
          <w:lang w:bidi="es-ES"/>
        </w:rPr>
      </w:pPr>
    </w:p>
    <w:p w14:paraId="033136A0" w14:textId="77777777"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20949F5" w14:textId="77777777" w:rsidR="00C77403" w:rsidRPr="00F94155" w:rsidRDefault="00C77403" w:rsidP="00661C89">
      <w:pPr>
        <w:pStyle w:val="Textoindependiente"/>
        <w:jc w:val="both"/>
        <w:rPr>
          <w:rFonts w:ascii="Arial" w:hAnsi="Arial" w:cs="Arial"/>
          <w:sz w:val="18"/>
          <w:szCs w:val="18"/>
        </w:rPr>
      </w:pPr>
    </w:p>
    <w:p w14:paraId="0966E778" w14:textId="2C6CAE86"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Regulaciones de Adquisiciones para Prestatarios en Proyectos de Inversión del Banco Mundial de Noviembre 2020</w:t>
      </w:r>
      <w:r w:rsidRPr="00F94155">
        <w:rPr>
          <w:rFonts w:ascii="Arial" w:hAnsi="Arial" w:cs="Arial"/>
          <w:sz w:val="20"/>
          <w:szCs w:val="20"/>
          <w:lang w:bidi="es-ES"/>
        </w:rPr>
        <w:t>.</w:t>
      </w:r>
    </w:p>
    <w:p w14:paraId="4BCA9832" w14:textId="77777777" w:rsidR="00C77403" w:rsidRPr="00F94155" w:rsidRDefault="00C77403" w:rsidP="00661C89">
      <w:pPr>
        <w:pStyle w:val="Textoindependiente"/>
        <w:jc w:val="both"/>
        <w:rPr>
          <w:rFonts w:ascii="Arial" w:hAnsi="Arial" w:cs="Arial"/>
          <w:sz w:val="18"/>
          <w:szCs w:val="18"/>
        </w:rPr>
      </w:pPr>
    </w:p>
    <w:p w14:paraId="363D9972" w14:textId="6E63AA0A"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las Regulaciones de Adquisiciones para Prestatarios en Proyectos de Inversión del Banco Mundial de Noviembre 2020</w:t>
      </w:r>
      <w:r w:rsidRPr="00F94155">
        <w:rPr>
          <w:rFonts w:ascii="Arial" w:hAnsi="Arial" w:cs="Arial"/>
          <w:sz w:val="20"/>
          <w:szCs w:val="20"/>
        </w:rPr>
        <w:t>.</w:t>
      </w:r>
    </w:p>
    <w:p w14:paraId="007F33C1" w14:textId="7181788C" w:rsidR="00F94155" w:rsidRPr="00F94155" w:rsidRDefault="00000000" w:rsidP="00F94155">
      <w:pPr>
        <w:pStyle w:val="Textoindependiente"/>
        <w:jc w:val="both"/>
        <w:rPr>
          <w:rFonts w:ascii="Arial" w:hAnsi="Arial" w:cs="Arial"/>
          <w:sz w:val="20"/>
          <w:szCs w:val="20"/>
        </w:rPr>
      </w:pPr>
      <w:hyperlink r:id="rId8" w:history="1">
        <w:r w:rsidR="00F94155" w:rsidRPr="001F1CD7">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7D59D941"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9E3407">
        <w:rPr>
          <w:rFonts w:ascii="Arial" w:hAnsi="Arial" w:cs="Arial"/>
          <w:sz w:val="20"/>
          <w:szCs w:val="20"/>
        </w:rPr>
        <w:t>6</w:t>
      </w:r>
      <w:r w:rsidRPr="00F94155">
        <w:rPr>
          <w:rFonts w:ascii="Arial" w:hAnsi="Arial" w:cs="Arial"/>
          <w:sz w:val="20"/>
          <w:szCs w:val="20"/>
        </w:rPr>
        <w:t xml:space="preserve"> 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3D69C117" w14:textId="77777777" w:rsidR="006F1DDA" w:rsidRDefault="006F1DDA">
      <w:pPr>
        <w:pStyle w:val="Ttulo1"/>
        <w:spacing w:before="83"/>
        <w:ind w:left="135" w:right="155" w:firstLine="0"/>
        <w:jc w:val="center"/>
      </w:pPr>
    </w:p>
    <w:p w14:paraId="0C482999" w14:textId="77777777" w:rsidR="00F94155" w:rsidRDefault="00F94155" w:rsidP="00F94155">
      <w:pPr>
        <w:ind w:right="3" w:hanging="2"/>
        <w:jc w:val="center"/>
      </w:pPr>
      <w:bookmarkStart w:id="0" w:name="_heading=h.gjdgxs" w:colFirst="0" w:colLast="0"/>
      <w:bookmarkEnd w:id="0"/>
      <w:r>
        <w:rPr>
          <w:b/>
        </w:rPr>
        <w:t>PROYECTO MEJORAMIENTO Y AMPLIACIÓN DE LOS SERVICIOS DE CTI PARA FORTALECER EL SISTEMA NACIONAL DE CIENCIA, TECNOLOGÍA E INNOVACIÓN</w:t>
      </w:r>
    </w:p>
    <w:p w14:paraId="3A9F63E4" w14:textId="77777777" w:rsidR="009E3407" w:rsidRPr="000C2E89" w:rsidRDefault="009E3407" w:rsidP="009E3407">
      <w:pPr>
        <w:ind w:right="3" w:hanging="2"/>
        <w:jc w:val="center"/>
      </w:pPr>
      <w:r w:rsidRPr="000C2E89">
        <w:rPr>
          <w:b/>
        </w:rPr>
        <w:t>TÉRMINOS DE REFERENCIA</w:t>
      </w:r>
    </w:p>
    <w:p w14:paraId="0FC7EA36" w14:textId="77777777" w:rsidR="009E3407" w:rsidRPr="000C2E89" w:rsidRDefault="009E3407" w:rsidP="009E3407">
      <w:pPr>
        <w:ind w:right="3" w:hanging="2"/>
        <w:jc w:val="center"/>
      </w:pPr>
    </w:p>
    <w:p w14:paraId="0370DEEE" w14:textId="77777777" w:rsidR="009E3407" w:rsidRPr="000C2E89" w:rsidRDefault="009E3407" w:rsidP="009E3407">
      <w:pPr>
        <w:ind w:right="3" w:hanging="2"/>
        <w:jc w:val="center"/>
      </w:pPr>
      <w:sdt>
        <w:sdtPr>
          <w:tag w:val="goog_rdk_1"/>
          <w:id w:val="700366893"/>
          <w:showingPlcHdr/>
        </w:sdtPr>
        <w:sdtContent>
          <w:r w:rsidRPr="000C2E89">
            <w:t xml:space="preserve">     </w:t>
          </w:r>
        </w:sdtContent>
      </w:sdt>
      <w:r w:rsidRPr="000C2E89">
        <w:rPr>
          <w:b/>
        </w:rPr>
        <w:t>Especialista e</w:t>
      </w:r>
      <w:r>
        <w:rPr>
          <w:b/>
        </w:rPr>
        <w:t>n</w:t>
      </w:r>
      <w:r w:rsidRPr="000C2E89">
        <w:rPr>
          <w:b/>
        </w:rPr>
        <w:t xml:space="preserve"> Adquisiciones </w:t>
      </w:r>
      <w:sdt>
        <w:sdtPr>
          <w:tag w:val="goog_rdk_2"/>
          <w:id w:val="-253128142"/>
        </w:sdtPr>
        <w:sdtContent>
          <w:r w:rsidRPr="000C2E89">
            <w:rPr>
              <w:b/>
            </w:rPr>
            <w:t>-</w:t>
          </w:r>
        </w:sdtContent>
      </w:sdt>
      <w:r w:rsidRPr="000C2E89">
        <w:t xml:space="preserve"> </w:t>
      </w:r>
      <w:r w:rsidRPr="000C2E89">
        <w:rPr>
          <w:b/>
        </w:rPr>
        <w:t>Subproyectos</w:t>
      </w:r>
    </w:p>
    <w:p w14:paraId="1C25049D" w14:textId="77777777" w:rsidR="009E3407" w:rsidRPr="000C2E89" w:rsidRDefault="009E3407" w:rsidP="009E3407">
      <w:pPr>
        <w:pBdr>
          <w:top w:val="nil"/>
          <w:left w:val="nil"/>
          <w:bottom w:val="nil"/>
          <w:right w:val="nil"/>
          <w:between w:val="nil"/>
        </w:pBdr>
        <w:spacing w:after="1"/>
        <w:ind w:right="3" w:hanging="2"/>
        <w:jc w:val="center"/>
        <w:rPr>
          <w:color w:val="000000"/>
        </w:rPr>
      </w:pPr>
      <w:bookmarkStart w:id="1" w:name="_heading=h.30j0zll" w:colFirst="0" w:colLast="0"/>
      <w:bookmarkEnd w:id="1"/>
    </w:p>
    <w:tbl>
      <w:tblPr>
        <w:tblW w:w="8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5954"/>
      </w:tblGrid>
      <w:tr w:rsidR="009E3407" w:rsidRPr="000C2E89" w14:paraId="6A78A11C" w14:textId="77777777" w:rsidTr="009809FA">
        <w:trPr>
          <w:trHeight w:val="479"/>
          <w:jc w:val="center"/>
        </w:trPr>
        <w:tc>
          <w:tcPr>
            <w:tcW w:w="2224" w:type="dxa"/>
            <w:shd w:val="clear" w:color="auto" w:fill="FFFFFF"/>
            <w:vAlign w:val="center"/>
          </w:tcPr>
          <w:p w14:paraId="532EBEB2" w14:textId="77777777" w:rsidR="009E3407" w:rsidRPr="000C2E89" w:rsidRDefault="009E3407" w:rsidP="009809FA">
            <w:pPr>
              <w:pBdr>
                <w:top w:val="nil"/>
                <w:left w:val="nil"/>
                <w:bottom w:val="nil"/>
                <w:right w:val="nil"/>
                <w:between w:val="nil"/>
              </w:pBdr>
              <w:ind w:hanging="2"/>
              <w:rPr>
                <w:color w:val="000000"/>
              </w:rPr>
            </w:pPr>
            <w:r w:rsidRPr="000C2E89">
              <w:rPr>
                <w:color w:val="000000"/>
              </w:rPr>
              <w:t>Componente 4</w:t>
            </w:r>
          </w:p>
        </w:tc>
        <w:tc>
          <w:tcPr>
            <w:tcW w:w="5954" w:type="dxa"/>
            <w:shd w:val="clear" w:color="auto" w:fill="FFFFFF"/>
            <w:vAlign w:val="center"/>
          </w:tcPr>
          <w:p w14:paraId="43568D54" w14:textId="77777777" w:rsidR="009E3407" w:rsidRPr="000C2E89" w:rsidRDefault="009E3407" w:rsidP="009809FA">
            <w:pPr>
              <w:pBdr>
                <w:top w:val="nil"/>
                <w:left w:val="nil"/>
                <w:bottom w:val="nil"/>
                <w:right w:val="nil"/>
                <w:between w:val="nil"/>
              </w:pBdr>
              <w:ind w:hanging="2"/>
              <w:rPr>
                <w:color w:val="000000"/>
              </w:rPr>
            </w:pPr>
            <w:r w:rsidRPr="000C2E89">
              <w:rPr>
                <w:color w:val="000000"/>
              </w:rPr>
              <w:t>Gestión del Proyecto</w:t>
            </w:r>
          </w:p>
        </w:tc>
      </w:tr>
      <w:tr w:rsidR="009E3407" w:rsidRPr="000C2E89" w14:paraId="1E0E2C13" w14:textId="77777777" w:rsidTr="009809FA">
        <w:trPr>
          <w:trHeight w:val="401"/>
          <w:jc w:val="center"/>
        </w:trPr>
        <w:tc>
          <w:tcPr>
            <w:tcW w:w="2224" w:type="dxa"/>
            <w:shd w:val="clear" w:color="auto" w:fill="FFFFFF"/>
            <w:vAlign w:val="center"/>
          </w:tcPr>
          <w:p w14:paraId="30C9A7F5" w14:textId="77777777" w:rsidR="009E3407" w:rsidRPr="000C2E89" w:rsidRDefault="009E3407" w:rsidP="009809FA">
            <w:pPr>
              <w:pBdr>
                <w:top w:val="nil"/>
                <w:left w:val="nil"/>
                <w:bottom w:val="nil"/>
                <w:right w:val="nil"/>
                <w:between w:val="nil"/>
              </w:pBdr>
              <w:ind w:hanging="2"/>
              <w:rPr>
                <w:color w:val="000000"/>
              </w:rPr>
            </w:pPr>
            <w:r w:rsidRPr="000C2E89">
              <w:rPr>
                <w:color w:val="000000"/>
              </w:rPr>
              <w:t>Sub Componente 4.1</w:t>
            </w:r>
          </w:p>
        </w:tc>
        <w:tc>
          <w:tcPr>
            <w:tcW w:w="5954" w:type="dxa"/>
            <w:shd w:val="clear" w:color="auto" w:fill="FFFFFF"/>
            <w:vAlign w:val="center"/>
          </w:tcPr>
          <w:p w14:paraId="433D345A" w14:textId="77777777" w:rsidR="009E3407" w:rsidRPr="000C2E89" w:rsidRDefault="009E3407" w:rsidP="009809FA">
            <w:pPr>
              <w:pBdr>
                <w:top w:val="nil"/>
                <w:left w:val="nil"/>
                <w:bottom w:val="nil"/>
                <w:right w:val="nil"/>
                <w:between w:val="nil"/>
              </w:pBdr>
              <w:ind w:hanging="2"/>
              <w:rPr>
                <w:color w:val="000000"/>
              </w:rPr>
            </w:pPr>
            <w:r w:rsidRPr="000C2E89">
              <w:rPr>
                <w:color w:val="000000"/>
              </w:rPr>
              <w:t>Equipo Técnico</w:t>
            </w:r>
          </w:p>
        </w:tc>
      </w:tr>
      <w:tr w:rsidR="009E3407" w:rsidRPr="000C2E89" w14:paraId="3891F125" w14:textId="77777777" w:rsidTr="009809FA">
        <w:trPr>
          <w:trHeight w:val="421"/>
          <w:jc w:val="center"/>
        </w:trPr>
        <w:tc>
          <w:tcPr>
            <w:tcW w:w="2224" w:type="dxa"/>
            <w:shd w:val="clear" w:color="auto" w:fill="FFFFFF"/>
            <w:vAlign w:val="center"/>
          </w:tcPr>
          <w:p w14:paraId="20BDA467" w14:textId="77777777" w:rsidR="009E3407" w:rsidRPr="000C2E89" w:rsidRDefault="009E3407" w:rsidP="009809FA">
            <w:pPr>
              <w:pBdr>
                <w:top w:val="nil"/>
                <w:left w:val="nil"/>
                <w:bottom w:val="nil"/>
                <w:right w:val="nil"/>
                <w:between w:val="nil"/>
              </w:pBdr>
              <w:ind w:hanging="2"/>
              <w:rPr>
                <w:color w:val="000000"/>
              </w:rPr>
            </w:pPr>
            <w:r w:rsidRPr="000C2E89">
              <w:rPr>
                <w:color w:val="000000"/>
              </w:rPr>
              <w:t>Actividad 4.1.1</w:t>
            </w:r>
          </w:p>
        </w:tc>
        <w:tc>
          <w:tcPr>
            <w:tcW w:w="5954" w:type="dxa"/>
            <w:vAlign w:val="center"/>
          </w:tcPr>
          <w:p w14:paraId="2658D28B" w14:textId="77777777" w:rsidR="009E3407" w:rsidRPr="000C2E89" w:rsidRDefault="009E3407" w:rsidP="009809FA">
            <w:pPr>
              <w:pBdr>
                <w:top w:val="nil"/>
                <w:left w:val="nil"/>
                <w:bottom w:val="nil"/>
                <w:right w:val="nil"/>
                <w:between w:val="nil"/>
              </w:pBdr>
              <w:ind w:hanging="2"/>
              <w:rPr>
                <w:color w:val="000000"/>
              </w:rPr>
            </w:pPr>
            <w:r w:rsidRPr="000C2E89">
              <w:rPr>
                <w:color w:val="000000"/>
              </w:rPr>
              <w:t>Equipo Técnico</w:t>
            </w:r>
          </w:p>
        </w:tc>
      </w:tr>
      <w:tr w:rsidR="009E3407" w:rsidRPr="000C2E89" w14:paraId="754E31D0" w14:textId="77777777" w:rsidTr="009809FA">
        <w:trPr>
          <w:trHeight w:val="412"/>
          <w:jc w:val="center"/>
        </w:trPr>
        <w:tc>
          <w:tcPr>
            <w:tcW w:w="2224" w:type="dxa"/>
            <w:shd w:val="clear" w:color="auto" w:fill="FFFFFF"/>
            <w:vAlign w:val="center"/>
          </w:tcPr>
          <w:p w14:paraId="51DCD954" w14:textId="77777777" w:rsidR="009E3407" w:rsidRPr="000C2E89" w:rsidRDefault="009E3407" w:rsidP="009809FA">
            <w:pPr>
              <w:pBdr>
                <w:top w:val="nil"/>
                <w:left w:val="nil"/>
                <w:bottom w:val="nil"/>
                <w:right w:val="nil"/>
                <w:between w:val="nil"/>
              </w:pBdr>
              <w:ind w:hanging="2"/>
              <w:rPr>
                <w:color w:val="000000"/>
              </w:rPr>
            </w:pPr>
            <w:r w:rsidRPr="000C2E89">
              <w:rPr>
                <w:color w:val="000000"/>
              </w:rPr>
              <w:t>Categoría</w:t>
            </w:r>
          </w:p>
        </w:tc>
        <w:tc>
          <w:tcPr>
            <w:tcW w:w="5954" w:type="dxa"/>
            <w:shd w:val="clear" w:color="auto" w:fill="FFFFFF"/>
            <w:vAlign w:val="center"/>
          </w:tcPr>
          <w:p w14:paraId="208A50E5" w14:textId="77777777" w:rsidR="009E3407" w:rsidRPr="000C2E89" w:rsidRDefault="009E3407" w:rsidP="009809FA">
            <w:pPr>
              <w:pBdr>
                <w:top w:val="nil"/>
                <w:left w:val="nil"/>
                <w:bottom w:val="nil"/>
                <w:right w:val="nil"/>
                <w:between w:val="nil"/>
              </w:pBdr>
              <w:ind w:hanging="2"/>
              <w:rPr>
                <w:color w:val="000000"/>
              </w:rPr>
            </w:pPr>
            <w:r w:rsidRPr="000C2E89">
              <w:rPr>
                <w:color w:val="000000"/>
              </w:rPr>
              <w:t>Consultoría Individual</w:t>
            </w:r>
          </w:p>
        </w:tc>
      </w:tr>
    </w:tbl>
    <w:p w14:paraId="53D9E37C" w14:textId="77777777" w:rsidR="009E3407" w:rsidRPr="000C2E89" w:rsidRDefault="009E3407" w:rsidP="009E3407">
      <w:pPr>
        <w:spacing w:line="276" w:lineRule="auto"/>
        <w:ind w:hanging="2"/>
        <w:jc w:val="both"/>
        <w:rPr>
          <w:rFonts w:eastAsia="Calibri"/>
        </w:rPr>
      </w:pPr>
    </w:p>
    <w:p w14:paraId="68F8EDAD"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1. ANTECEDENTES</w:t>
      </w:r>
    </w:p>
    <w:p w14:paraId="30C2F9B0" w14:textId="77777777" w:rsidR="009E3407" w:rsidRPr="007A6DE4" w:rsidRDefault="009E3407" w:rsidP="009E3407">
      <w:pPr>
        <w:pBdr>
          <w:top w:val="nil"/>
          <w:left w:val="nil"/>
          <w:bottom w:val="nil"/>
          <w:right w:val="nil"/>
          <w:between w:val="nil"/>
        </w:pBdr>
        <w:spacing w:line="276" w:lineRule="auto"/>
        <w:ind w:hanging="2"/>
        <w:jc w:val="both"/>
        <w:rPr>
          <w:color w:val="000000"/>
        </w:rPr>
      </w:pPr>
    </w:p>
    <w:p w14:paraId="42F1A7BC" w14:textId="77777777" w:rsidR="009E3407" w:rsidRPr="007A6DE4" w:rsidRDefault="009E3407" w:rsidP="009E3407">
      <w:pPr>
        <w:pBdr>
          <w:top w:val="nil"/>
          <w:left w:val="nil"/>
          <w:bottom w:val="nil"/>
          <w:right w:val="nil"/>
          <w:between w:val="nil"/>
        </w:pBdr>
        <w:spacing w:line="276" w:lineRule="auto"/>
        <w:ind w:hanging="2"/>
        <w:jc w:val="both"/>
        <w:rPr>
          <w:color w:val="000000"/>
        </w:rPr>
      </w:pPr>
      <w:bookmarkStart w:id="2" w:name="_Hlk115184563"/>
      <w:r w:rsidRPr="007A6DE4">
        <w:rPr>
          <w:color w:val="000000"/>
        </w:rPr>
        <w:t xml:space="preserve">El Estado peruano, con el Decreto Supremo N°054-2022-EF del 30 de marzo de 2022, aprueba la operación de endeudamiento externo hasta por la suma de US$ 100,0 millones, con el Banco Internacional de Reconstrucción y Fomento (en adelante BM) para financiar parcialmente el Proyecto </w:t>
      </w:r>
      <w:r>
        <w:rPr>
          <w:color w:val="000000"/>
        </w:rPr>
        <w:t>“</w:t>
      </w:r>
      <w:r w:rsidRPr="007A6DE4">
        <w:rPr>
          <w:color w:val="000000"/>
        </w:rPr>
        <w:t xml:space="preserve">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w:t>
      </w:r>
      <w:r w:rsidRPr="007A6DE4">
        <w:t>El proyecto tiene una duración global de sesenta y cuatro (64) meses y un presupuesto total de US$125 millones.</w:t>
      </w:r>
    </w:p>
    <w:p w14:paraId="4BBCA61F" w14:textId="77777777" w:rsidR="009E3407" w:rsidRPr="007A6DE4" w:rsidRDefault="009E3407" w:rsidP="009E3407">
      <w:pPr>
        <w:spacing w:line="276" w:lineRule="auto"/>
        <w:ind w:hanging="2"/>
        <w:jc w:val="both"/>
      </w:pPr>
    </w:p>
    <w:p w14:paraId="1F3DD066" w14:textId="77777777" w:rsidR="009E3407" w:rsidRDefault="009E3407" w:rsidP="009E3407">
      <w:pPr>
        <w:spacing w:line="276" w:lineRule="auto"/>
        <w:ind w:hanging="2"/>
        <w:jc w:val="both"/>
      </w:pPr>
      <w:r w:rsidRPr="007A6DE4">
        <w:t>El Proyecto consta de los siguientes componentes:</w:t>
      </w:r>
    </w:p>
    <w:p w14:paraId="2170AA6E" w14:textId="77777777" w:rsidR="009E3407" w:rsidRPr="007A6DE4" w:rsidRDefault="009E3407" w:rsidP="009E3407">
      <w:pPr>
        <w:spacing w:line="276" w:lineRule="auto"/>
        <w:ind w:hanging="2"/>
        <w:jc w:val="both"/>
      </w:pPr>
    </w:p>
    <w:p w14:paraId="7A46FB79" w14:textId="77777777" w:rsidR="009E3407" w:rsidRPr="007A6DE4" w:rsidRDefault="009E3407" w:rsidP="009E3407">
      <w:pPr>
        <w:pBdr>
          <w:top w:val="nil"/>
          <w:left w:val="nil"/>
          <w:bottom w:val="nil"/>
          <w:right w:val="nil"/>
          <w:between w:val="nil"/>
        </w:pBdr>
        <w:spacing w:line="276" w:lineRule="auto"/>
        <w:ind w:hanging="2"/>
        <w:jc w:val="both"/>
        <w:rPr>
          <w:color w:val="000000"/>
        </w:rPr>
      </w:pPr>
      <w:r w:rsidRPr="007A6DE4">
        <w:rPr>
          <w:u w:val="single"/>
        </w:rPr>
        <w:t>Componente 1</w:t>
      </w:r>
      <w:r w:rsidRPr="007A6DE4">
        <w:rPr>
          <w:rFonts w:eastAsia="Times New Roman"/>
          <w:color w:val="000000"/>
        </w:rPr>
        <w:t xml:space="preserve">: </w:t>
      </w:r>
      <w:r w:rsidRPr="007A6DE4">
        <w:rPr>
          <w:color w:val="000000"/>
        </w:rPr>
        <w:t>Fortalecimiento de las Instituciones y la Gobernanza del Sistema Nacional de Ciencia, Tecnología e Innovación (SINACTI) para Impulsar la Innovación en Perú (US$ 17 Millones)</w:t>
      </w:r>
    </w:p>
    <w:p w14:paraId="102A5608" w14:textId="77777777" w:rsidR="009E3407" w:rsidRPr="007A6DE4" w:rsidRDefault="009E3407" w:rsidP="009E3407">
      <w:pPr>
        <w:pBdr>
          <w:top w:val="nil"/>
          <w:left w:val="nil"/>
          <w:bottom w:val="nil"/>
          <w:right w:val="nil"/>
          <w:between w:val="nil"/>
        </w:pBdr>
        <w:spacing w:line="276" w:lineRule="auto"/>
        <w:ind w:hanging="2"/>
        <w:jc w:val="both"/>
        <w:rPr>
          <w:color w:val="000000"/>
        </w:rPr>
      </w:pPr>
      <w:r w:rsidRPr="007A6DE4">
        <w:rPr>
          <w:color w:val="000000"/>
        </w:rP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43333B29" w14:textId="77777777" w:rsidR="009E3407" w:rsidRPr="007A6DE4" w:rsidRDefault="009E3407" w:rsidP="009E3407">
      <w:pPr>
        <w:pBdr>
          <w:top w:val="nil"/>
          <w:left w:val="nil"/>
          <w:bottom w:val="nil"/>
          <w:right w:val="nil"/>
          <w:between w:val="nil"/>
        </w:pBdr>
        <w:spacing w:line="276" w:lineRule="auto"/>
        <w:ind w:hanging="2"/>
        <w:jc w:val="both"/>
        <w:rPr>
          <w:color w:val="000000"/>
        </w:rPr>
      </w:pPr>
      <w:r w:rsidRPr="007A6DE4">
        <w:rPr>
          <w:color w:val="000000"/>
        </w:rPr>
        <w:t>Las actividades del componente 1 permitirán las actividades planificadas en los componentes 2 y 3 mejorando la capacidad para gestionar los instrumentos de apoyo a la investigación, desarrollo e innovación (en adelante “I+D+i”).</w:t>
      </w:r>
    </w:p>
    <w:p w14:paraId="1F716DF6" w14:textId="77777777" w:rsidR="009E3407" w:rsidRPr="007A6DE4" w:rsidRDefault="009E3407" w:rsidP="009E3407">
      <w:pPr>
        <w:spacing w:line="276" w:lineRule="auto"/>
        <w:ind w:hanging="2"/>
        <w:jc w:val="both"/>
      </w:pPr>
    </w:p>
    <w:p w14:paraId="5D943694" w14:textId="77777777" w:rsidR="009E3407" w:rsidRPr="007A6DE4" w:rsidRDefault="009E3407" w:rsidP="009E3407">
      <w:pPr>
        <w:spacing w:line="276" w:lineRule="auto"/>
        <w:ind w:hanging="2"/>
        <w:jc w:val="both"/>
      </w:pPr>
      <w:bookmarkStart w:id="3" w:name="_Hlk115163677"/>
      <w:r w:rsidRPr="007A6DE4">
        <w:rPr>
          <w:u w:val="single"/>
        </w:rPr>
        <w:t xml:space="preserve">Componente 2: </w:t>
      </w:r>
      <w:r w:rsidRPr="007A6DE4">
        <w:t>Desarrollo de capacidades para la generación de conocimiento en Áreas Estratégicas (US$ 74.8 millones).</w:t>
      </w:r>
    </w:p>
    <w:p w14:paraId="19FEBF28" w14:textId="77777777" w:rsidR="009E3407" w:rsidRPr="007A6DE4" w:rsidRDefault="009E3407" w:rsidP="009E3407">
      <w:pPr>
        <w:spacing w:line="276" w:lineRule="auto"/>
        <w:ind w:hanging="2"/>
        <w:jc w:val="both"/>
      </w:pPr>
      <w:r w:rsidRPr="007A6DE4">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5CF830E1" w14:textId="77777777" w:rsidR="009E3407" w:rsidRPr="007A6DE4" w:rsidRDefault="009E3407" w:rsidP="009E3407">
      <w:pPr>
        <w:spacing w:line="276" w:lineRule="auto"/>
        <w:ind w:hanging="2"/>
        <w:jc w:val="both"/>
      </w:pPr>
    </w:p>
    <w:p w14:paraId="38780F4A" w14:textId="77777777" w:rsidR="009E3407" w:rsidRPr="007A6DE4" w:rsidRDefault="009E3407" w:rsidP="009E3407">
      <w:pPr>
        <w:spacing w:line="276" w:lineRule="auto"/>
        <w:ind w:hanging="2"/>
        <w:jc w:val="both"/>
      </w:pPr>
      <w:bookmarkStart w:id="4" w:name="_Hlk115248401"/>
      <w:r w:rsidRPr="007A6DE4">
        <w:rPr>
          <w:lang w:val="es-PE" w:eastAsia="es-PE"/>
        </w:rPr>
        <w:lastRenderedPageBreak/>
        <w:t xml:space="preserve">Este componente </w:t>
      </w:r>
      <w:r w:rsidRPr="007A6DE4">
        <w:rPr>
          <w:lang w:eastAsia="es-PE"/>
        </w:rPr>
        <w:t>incluye el financiamiento de</w:t>
      </w:r>
      <w:r w:rsidRPr="007A6DE4">
        <w:rPr>
          <w:lang w:val="es-PE" w:eastAsia="es-PE"/>
        </w:rPr>
        <w:t xml:space="preserve"> becas para que ciudadanos peruanos realicen formación doctoral en los programas de doctorado</w:t>
      </w:r>
      <w:r w:rsidRPr="007A6DE4">
        <w:rPr>
          <w:lang w:eastAsia="es-PE"/>
        </w:rPr>
        <w:t xml:space="preserve"> y </w:t>
      </w:r>
      <w:r w:rsidRPr="007A6DE4">
        <w:rPr>
          <w:lang w:val="es-PE" w:eastAsia="es-PE"/>
        </w:rPr>
        <w:t>cofinanciará subvenciones para apoyar la investigación, el desarrollo tecnológico y la innovación con orientación a la demanda y de alta relevancia</w:t>
      </w:r>
      <w:r w:rsidRPr="007A6DE4">
        <w:rPr>
          <w:lang w:eastAsia="es-PE"/>
        </w:rPr>
        <w:t xml:space="preserve"> </w:t>
      </w:r>
      <w:r w:rsidRPr="007A6DE4">
        <w:rPr>
          <w:lang w:val="es-PE" w:eastAsia="es-PE"/>
        </w:rPr>
        <w:t>apoyados en las Áreas Estratégicas</w:t>
      </w:r>
      <w:bookmarkEnd w:id="4"/>
      <w:r w:rsidRPr="007A6DE4">
        <w:t>, con al menos el 50 por ciento del financiamiento total del componente destinado al Área Estratégica de Clima.</w:t>
      </w:r>
    </w:p>
    <w:p w14:paraId="70EF64C5" w14:textId="77777777" w:rsidR="009E3407" w:rsidRPr="007A6DE4" w:rsidRDefault="009E3407" w:rsidP="009E3407">
      <w:pPr>
        <w:spacing w:line="276" w:lineRule="auto"/>
        <w:ind w:hanging="2"/>
        <w:jc w:val="both"/>
      </w:pPr>
    </w:p>
    <w:p w14:paraId="2AF9C012" w14:textId="77777777" w:rsidR="009E3407" w:rsidRPr="007A6DE4" w:rsidRDefault="009E3407" w:rsidP="009E3407">
      <w:pPr>
        <w:spacing w:line="276" w:lineRule="auto"/>
        <w:ind w:hanging="2"/>
        <w:jc w:val="both"/>
      </w:pPr>
      <w:r w:rsidRPr="007A6DE4">
        <w:rPr>
          <w:u w:val="single"/>
        </w:rPr>
        <w:t>Componente 3:</w:t>
      </w:r>
      <w:r w:rsidRPr="007A6DE4">
        <w:t xml:space="preserve"> Fortalecimiento de los vínculos entre la industria y el mundo académico para acelerar la transferencia de tecnología y la innovación empresarial basada en la Ciencia (US$ 23.7 millones).</w:t>
      </w:r>
    </w:p>
    <w:p w14:paraId="4A4A3899" w14:textId="77777777" w:rsidR="009E3407" w:rsidRPr="007A6DE4" w:rsidRDefault="009E3407" w:rsidP="009E3407">
      <w:pPr>
        <w:spacing w:line="276" w:lineRule="auto"/>
        <w:ind w:hanging="2"/>
        <w:jc w:val="both"/>
      </w:pPr>
      <w:r w:rsidRPr="007A6DE4">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1C6A190E" w14:textId="77777777" w:rsidR="009E3407" w:rsidRDefault="009E3407" w:rsidP="009E3407">
      <w:pPr>
        <w:spacing w:line="276" w:lineRule="auto"/>
        <w:ind w:hanging="2"/>
        <w:jc w:val="both"/>
        <w:rPr>
          <w:u w:val="single"/>
        </w:rPr>
      </w:pPr>
    </w:p>
    <w:p w14:paraId="2D4FEEE6" w14:textId="77777777" w:rsidR="009E3407" w:rsidRPr="007A6DE4" w:rsidRDefault="009E3407" w:rsidP="009E3407">
      <w:pPr>
        <w:spacing w:line="276" w:lineRule="auto"/>
        <w:ind w:hanging="2"/>
        <w:jc w:val="both"/>
      </w:pPr>
      <w:r w:rsidRPr="007A6DE4">
        <w:rPr>
          <w:u w:val="single"/>
        </w:rPr>
        <w:t>Componente 4:</w:t>
      </w:r>
      <w:r w:rsidRPr="007A6DE4">
        <w:t xml:space="preserve"> Gestión de proyectos y seguimiento y evaluación (US$ 9.5 millones)</w:t>
      </w:r>
    </w:p>
    <w:p w14:paraId="6E8CCBF6" w14:textId="77777777" w:rsidR="009E3407" w:rsidRPr="007A6DE4" w:rsidRDefault="009E3407" w:rsidP="009E3407">
      <w:pPr>
        <w:spacing w:line="276" w:lineRule="auto"/>
        <w:ind w:hanging="2"/>
        <w:jc w:val="both"/>
      </w:pPr>
      <w:r w:rsidRPr="007A6DE4">
        <w:t>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w:t>
      </w:r>
      <w:bookmarkEnd w:id="2"/>
      <w:bookmarkEnd w:id="3"/>
    </w:p>
    <w:p w14:paraId="2A79977A" w14:textId="77777777" w:rsidR="009E3407" w:rsidRPr="007A6DE4" w:rsidRDefault="009E3407" w:rsidP="009E3407">
      <w:pPr>
        <w:spacing w:line="276" w:lineRule="auto"/>
        <w:ind w:hanging="2"/>
        <w:jc w:val="both"/>
        <w:rPr>
          <w:color w:val="FF0000"/>
        </w:rPr>
      </w:pPr>
    </w:p>
    <w:p w14:paraId="15B4E795"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 xml:space="preserve"> 2. OBJETO DE LA CONSULTOR</w:t>
      </w:r>
      <w:sdt>
        <w:sdtPr>
          <w:tag w:val="goog_rdk_4"/>
          <w:id w:val="-1508437377"/>
        </w:sdtPr>
        <w:sdtContent>
          <w:r w:rsidRPr="000C2E89">
            <w:rPr>
              <w:b/>
            </w:rPr>
            <w:t>Í</w:t>
          </w:r>
        </w:sdtContent>
      </w:sdt>
      <w:r w:rsidRPr="000C2E89">
        <w:rPr>
          <w:b/>
        </w:rPr>
        <w:t>A</w:t>
      </w:r>
    </w:p>
    <w:p w14:paraId="582504D0" w14:textId="77777777" w:rsidR="009E3407" w:rsidRPr="000C2E89" w:rsidRDefault="009E3407" w:rsidP="009E3407">
      <w:pPr>
        <w:spacing w:line="276" w:lineRule="auto"/>
        <w:ind w:hanging="2"/>
        <w:jc w:val="both"/>
        <w:rPr>
          <w:color w:val="000000"/>
        </w:rPr>
      </w:pPr>
      <w:bookmarkStart w:id="5" w:name="_heading=h.1fob9te" w:colFirst="0" w:colLast="0"/>
      <w:bookmarkEnd w:id="5"/>
    </w:p>
    <w:p w14:paraId="1F36768E" w14:textId="77777777" w:rsidR="009E3407" w:rsidRPr="000C2E89" w:rsidRDefault="009E3407" w:rsidP="009E3407">
      <w:pPr>
        <w:spacing w:line="276" w:lineRule="auto"/>
        <w:ind w:hanging="2"/>
        <w:jc w:val="both"/>
        <w:rPr>
          <w:highlight w:val="white"/>
        </w:rPr>
      </w:pPr>
      <w:bookmarkStart w:id="6" w:name="_heading=h.3znysh7" w:colFirst="0" w:colLast="0"/>
      <w:bookmarkStart w:id="7" w:name="_Hlk128044797"/>
      <w:bookmarkStart w:id="8" w:name="_Hlk128048022"/>
      <w:bookmarkEnd w:id="6"/>
      <w:r w:rsidRPr="007A70FC">
        <w:rPr>
          <w:highlight w:val="white"/>
        </w:rPr>
        <w:t>El(la) Consultor(a) desarrollará las actividades necesarias para cumplir el objeto del contrato, siguiendo los procedimientos y estándares definidos para el Proyecto</w:t>
      </w:r>
      <w:bookmarkEnd w:id="7"/>
      <w:bookmarkEnd w:id="8"/>
      <w:r w:rsidRPr="000C2E89">
        <w:rPr>
          <w:highlight w:val="white"/>
        </w:rPr>
        <w:t>.</w:t>
      </w:r>
    </w:p>
    <w:p w14:paraId="076EFB02" w14:textId="77777777" w:rsidR="009E3407" w:rsidRPr="000C2E89" w:rsidRDefault="009E3407" w:rsidP="009E3407">
      <w:pPr>
        <w:spacing w:line="276" w:lineRule="auto"/>
        <w:ind w:hanging="2"/>
        <w:jc w:val="both"/>
        <w:rPr>
          <w:color w:val="000000"/>
        </w:rPr>
      </w:pPr>
    </w:p>
    <w:p w14:paraId="47A031E6"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3. A</w:t>
      </w:r>
      <w:sdt>
        <w:sdtPr>
          <w:tag w:val="goog_rdk_11"/>
          <w:id w:val="202530068"/>
        </w:sdtPr>
        <w:sdtContent/>
      </w:sdt>
      <w:r w:rsidRPr="000C2E89">
        <w:rPr>
          <w:b/>
        </w:rPr>
        <w:t>CTIVIDADES</w:t>
      </w:r>
    </w:p>
    <w:p w14:paraId="67A72AE8" w14:textId="77777777" w:rsidR="009E3407" w:rsidRPr="007A6DE4" w:rsidRDefault="009E3407" w:rsidP="009E3407">
      <w:pPr>
        <w:pBdr>
          <w:top w:val="nil"/>
          <w:left w:val="nil"/>
          <w:bottom w:val="nil"/>
          <w:right w:val="nil"/>
          <w:between w:val="nil"/>
        </w:pBdr>
        <w:spacing w:line="276" w:lineRule="auto"/>
        <w:ind w:right="3" w:hanging="2"/>
        <w:jc w:val="both"/>
        <w:rPr>
          <w:color w:val="000000"/>
        </w:rPr>
      </w:pPr>
    </w:p>
    <w:p w14:paraId="1325E4C5" w14:textId="77777777" w:rsidR="009E3407" w:rsidRPr="007A6DE4" w:rsidRDefault="009E3407" w:rsidP="009E3407">
      <w:pPr>
        <w:spacing w:line="276" w:lineRule="auto"/>
        <w:ind w:hanging="2"/>
        <w:jc w:val="both"/>
        <w:rPr>
          <w:highlight w:val="white"/>
        </w:rPr>
      </w:pPr>
      <w:r w:rsidRPr="007A70FC">
        <w:rPr>
          <w:highlight w:val="white"/>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2FC60EEB" w14:textId="77777777" w:rsidR="009E3407" w:rsidRPr="007A6DE4" w:rsidRDefault="009E3407" w:rsidP="009E3407">
      <w:pPr>
        <w:spacing w:line="276" w:lineRule="auto"/>
        <w:ind w:hanging="2"/>
        <w:jc w:val="both"/>
      </w:pPr>
    </w:p>
    <w:p w14:paraId="5C370D6F"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rPr>
          <w:lang w:val="es-PE"/>
        </w:rPr>
      </w:pPr>
      <w:r w:rsidRPr="007A6DE4">
        <w:rPr>
          <w:lang w:val="es-PE"/>
        </w:rPr>
        <w:t>Evaluar la capacidad para realizar las adquisiciones de las entidades beneficiarias de cada subproyecto, con el fin de definir el grado de acompañamiento que requieren y sobre esta base, diseñar un plan de capacitación que cubra las necesidades identificadas.</w:t>
      </w:r>
    </w:p>
    <w:p w14:paraId="470B40C7"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rPr>
          <w:lang w:val="es-PE"/>
        </w:rPr>
      </w:pPr>
      <w:r w:rsidRPr="007A6DE4">
        <w:rPr>
          <w:lang w:val="es-PE"/>
        </w:rPr>
        <w:t>Proporcionar los formatos del Plan de adquisiciones y de los documentos de adquisiciones simplificados, los mismos que se incluirán en la guía de seguimiento y monitoreo de cada Subproyecto.</w:t>
      </w:r>
    </w:p>
    <w:p w14:paraId="15C0E9E3"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rPr>
          <w:lang w:val="es-PE"/>
        </w:rPr>
      </w:pPr>
      <w:r w:rsidRPr="007A6DE4">
        <w:rPr>
          <w:lang w:val="es-PE"/>
        </w:rPr>
        <w:t>Acompañar y apoyar a la Unidad de Gestión de Concursos en la revisión y aprobación de los planes de adquisiciones de los subproyectos, los registros en STEP y en el seguimiento al avance y ejecución de estos.</w:t>
      </w:r>
    </w:p>
    <w:p w14:paraId="24D969E8"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rPr>
          <w:lang w:val="es-PE"/>
        </w:rPr>
      </w:pPr>
      <w:r w:rsidRPr="007A6DE4">
        <w:rPr>
          <w:lang w:val="es-PE"/>
        </w:rPr>
        <w:t xml:space="preserve">Capacitar, supervisar, orientar y acompañar a los subproyectos en la normatividad y procedimientos específicos de las Regulaciones de </w:t>
      </w:r>
      <w:r w:rsidRPr="007A6DE4">
        <w:rPr>
          <w:lang w:val="es-PE"/>
        </w:rPr>
        <w:lastRenderedPageBreak/>
        <w:t>Adquisiciones acordados para su ejecución, en la elaboración del Plan de Adquisiciones, la identificación del tipo de gasto, etc.</w:t>
      </w:r>
    </w:p>
    <w:p w14:paraId="43C0A4D9"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rPr>
          <w:lang w:val="es-PE"/>
        </w:rPr>
      </w:pPr>
      <w:r w:rsidRPr="007A6DE4">
        <w:rPr>
          <w:lang w:val="es-PE"/>
        </w:rPr>
        <w:t>Realizar la supervisión de adquisiciones a los subproyectos para lo cual se definirán los mecanismos para tal fin (revisiones previas, posteriores, etc.) siendo responsabilidad de los beneficiarios mantener el archivo y registro adecuado de la documentación de las adquisiciones y contrataciones realizadas.</w:t>
      </w:r>
    </w:p>
    <w:p w14:paraId="5081022E"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pPr>
      <w:r w:rsidRPr="007A6DE4">
        <w:rPr>
          <w:lang w:val="es-PE"/>
        </w:rPr>
        <w:t>Apoyar a la Coordinación del Proyecto, si así se requiere, en la gestión de las no objeciones a los procedimientos de adquisición y/o contratación de bienes, servicios de consultoría y no consultoría que lleven a cabo los subproyectos, lo cual, dependerá de los techos de revisión previa aplicables al Proyecto, o en casos, excepcionales.</w:t>
      </w:r>
    </w:p>
    <w:p w14:paraId="003D8764"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pPr>
      <w:r w:rsidRPr="007A6DE4">
        <w:t>Velar por la aplicación del MOP (capítulo de Adquisiciones), del Proyecto en versión vigente aprobada por el Concejo Directivo del Proyecto, Presidencia del CONCYTEC y con la No Objeción del BM</w:t>
      </w:r>
    </w:p>
    <w:p w14:paraId="537FB14A" w14:textId="77777777" w:rsidR="009E3407" w:rsidRPr="007A6DE4" w:rsidRDefault="009E3407" w:rsidP="009E3407">
      <w:pPr>
        <w:widowControl/>
        <w:numPr>
          <w:ilvl w:val="0"/>
          <w:numId w:val="12"/>
        </w:numPr>
        <w:suppressAutoHyphens/>
        <w:autoSpaceDE/>
        <w:autoSpaceDN/>
        <w:spacing w:line="276" w:lineRule="auto"/>
        <w:ind w:left="851" w:hanging="567"/>
        <w:jc w:val="both"/>
        <w:textDirection w:val="btLr"/>
        <w:textAlignment w:val="top"/>
        <w:outlineLvl w:val="0"/>
      </w:pPr>
      <w:r w:rsidRPr="007A6DE4">
        <w:t xml:space="preserve">Asesorar en la preparación, revisar para la aprobación del Plan de Adquisiciones elaborado por los beneficiarios de cada subproyecto que les sea adjudicado. </w:t>
      </w:r>
    </w:p>
    <w:p w14:paraId="64C132EF" w14:textId="77777777" w:rsidR="009E3407" w:rsidRPr="007A6DE4" w:rsidRDefault="009E3407" w:rsidP="009E3407">
      <w:pPr>
        <w:widowControl/>
        <w:numPr>
          <w:ilvl w:val="0"/>
          <w:numId w:val="12"/>
        </w:numPr>
        <w:suppressAutoHyphens/>
        <w:autoSpaceDE/>
        <w:autoSpaceDN/>
        <w:spacing w:line="276" w:lineRule="auto"/>
        <w:ind w:left="851" w:hanging="567"/>
        <w:jc w:val="both"/>
        <w:textDirection w:val="btLr"/>
        <w:textAlignment w:val="top"/>
        <w:outlineLvl w:val="0"/>
      </w:pPr>
      <w:r w:rsidRPr="007A6DE4">
        <w:t>Acompañar en los procesos de adquisiciones de los subproyectos y apoyar en la preparación de los documentos de adquisiciones (SDO, SDP, SDC, entre otros) de acuerdo con las Regulaciones de Adquisiciones para Prestatarios en Proyectos de Inversión, para Bienes, Obras, Servicios de No-Consultoría y Servicios de Consultoría cuarta edición de noviembre de 2020 (en adelante las Regulaciones de Adquisiciones) con base en los estudios de mercado, las especificaciones técnicas, y los términos de referencia preparados por el área técnica solicitante o usuaria.</w:t>
      </w:r>
    </w:p>
    <w:p w14:paraId="62CBD4E3" w14:textId="77777777" w:rsidR="009E3407" w:rsidRPr="007A6DE4" w:rsidRDefault="009E3407" w:rsidP="009E3407">
      <w:pPr>
        <w:widowControl/>
        <w:numPr>
          <w:ilvl w:val="0"/>
          <w:numId w:val="12"/>
        </w:numPr>
        <w:suppressAutoHyphens/>
        <w:autoSpaceDE/>
        <w:autoSpaceDN/>
        <w:spacing w:line="276" w:lineRule="auto"/>
        <w:ind w:left="851" w:hanging="567"/>
        <w:jc w:val="both"/>
        <w:textDirection w:val="btLr"/>
        <w:textAlignment w:val="top"/>
        <w:outlineLvl w:val="0"/>
      </w:pPr>
      <w:r w:rsidRPr="007A6DE4">
        <w:t xml:space="preserve">Asistencia en la verificación, revisión y seguimiento de los requerimientos de adquisiciones remitidos por los Subproyectos, en coordinación con el Especialista en Adquisiciones del Proyecto y los monitores designados en el marco de la Regulaciones de Adquisiciones del BM.  </w:t>
      </w:r>
    </w:p>
    <w:p w14:paraId="40B2EF0B" w14:textId="77777777" w:rsidR="009E3407" w:rsidRPr="007A6DE4" w:rsidRDefault="009E3407" w:rsidP="009E3407">
      <w:pPr>
        <w:widowControl/>
        <w:numPr>
          <w:ilvl w:val="0"/>
          <w:numId w:val="12"/>
        </w:numPr>
        <w:suppressAutoHyphens/>
        <w:autoSpaceDE/>
        <w:autoSpaceDN/>
        <w:spacing w:line="276" w:lineRule="auto"/>
        <w:ind w:left="851" w:hanging="567"/>
        <w:jc w:val="both"/>
        <w:textDirection w:val="btLr"/>
        <w:textAlignment w:val="top"/>
        <w:outlineLvl w:val="0"/>
      </w:pPr>
      <w:r w:rsidRPr="007A6DE4">
        <w:t>Realizar coordinaciones con el especialista de soporte y seguimiento de subvenciones.</w:t>
      </w:r>
    </w:p>
    <w:p w14:paraId="2B894606" w14:textId="77777777" w:rsidR="009E3407" w:rsidRPr="007A6DE4" w:rsidRDefault="009E3407" w:rsidP="009E3407">
      <w:pPr>
        <w:widowControl/>
        <w:numPr>
          <w:ilvl w:val="0"/>
          <w:numId w:val="12"/>
        </w:numPr>
        <w:suppressAutoHyphens/>
        <w:autoSpaceDE/>
        <w:autoSpaceDN/>
        <w:spacing w:line="276" w:lineRule="auto"/>
        <w:ind w:left="851" w:hanging="567"/>
        <w:jc w:val="both"/>
        <w:textAlignment w:val="top"/>
        <w:outlineLvl w:val="0"/>
      </w:pPr>
      <w:r w:rsidRPr="007A6DE4">
        <w:t>Mantener el archivo de los planes de adquisiciones de subproyectos aprobados, debidamente organizado, y hacer la entrega de las carpetas completas al encargado del archivo documentario, verificando que la documentación esté registrada en STEP.</w:t>
      </w:r>
    </w:p>
    <w:p w14:paraId="4C502387" w14:textId="77777777" w:rsidR="009E3407" w:rsidRPr="007A6DE4" w:rsidRDefault="009E3407" w:rsidP="009E3407">
      <w:pPr>
        <w:widowControl/>
        <w:numPr>
          <w:ilvl w:val="0"/>
          <w:numId w:val="12"/>
        </w:numPr>
        <w:adjustRightInd w:val="0"/>
        <w:spacing w:line="276" w:lineRule="auto"/>
        <w:ind w:left="851" w:hanging="567"/>
        <w:jc w:val="both"/>
      </w:pPr>
      <w:r w:rsidRPr="007A6DE4">
        <w:t>Realizar coordinaciones con el Especialista de Adquisiciones para realizar visitas de supervisión, sistematización de lecciones aprendidas, actualización del Manual Operativo del Proyecto.</w:t>
      </w:r>
      <w:bookmarkStart w:id="9" w:name="_Hlk113290526"/>
    </w:p>
    <w:p w14:paraId="396FD998" w14:textId="77777777" w:rsidR="009E3407" w:rsidRPr="007A6DE4" w:rsidRDefault="009E3407" w:rsidP="009E3407">
      <w:pPr>
        <w:widowControl/>
        <w:numPr>
          <w:ilvl w:val="0"/>
          <w:numId w:val="12"/>
        </w:numPr>
        <w:adjustRightInd w:val="0"/>
        <w:spacing w:line="276" w:lineRule="auto"/>
        <w:ind w:left="851" w:hanging="567"/>
        <w:jc w:val="both"/>
        <w:rPr>
          <w:lang w:val="es-PE"/>
        </w:rPr>
      </w:pPr>
      <w:r w:rsidRPr="007A6DE4">
        <w:t>Participar en las actividades relacionadas a sus actividades durante las visitas de Supervisión</w:t>
      </w:r>
      <w:r w:rsidRPr="007A6DE4">
        <w:rPr>
          <w:lang w:val="es-PE"/>
        </w:rPr>
        <w:t xml:space="preserve"> que realice el BM.</w:t>
      </w:r>
    </w:p>
    <w:bookmarkEnd w:id="9"/>
    <w:p w14:paraId="12FB771C" w14:textId="77777777" w:rsidR="009E3407" w:rsidRDefault="009E3407" w:rsidP="009E3407">
      <w:pPr>
        <w:pStyle w:val="Prrafodelista"/>
        <w:adjustRightInd w:val="0"/>
        <w:spacing w:line="276" w:lineRule="auto"/>
        <w:ind w:firstLine="0"/>
        <w:rPr>
          <w:rFonts w:ascii="Arial" w:hAnsi="Arial"/>
          <w:lang w:val="es-PE" w:eastAsia="es-MX"/>
        </w:rPr>
      </w:pPr>
    </w:p>
    <w:p w14:paraId="54152D4F" w14:textId="77777777" w:rsidR="009E3407" w:rsidRPr="000C2E89" w:rsidRDefault="009E3407" w:rsidP="009E3407">
      <w:pPr>
        <w:pStyle w:val="Prrafodelista"/>
        <w:adjustRightInd w:val="0"/>
        <w:spacing w:line="276" w:lineRule="auto"/>
        <w:ind w:firstLine="0"/>
        <w:rPr>
          <w:rFonts w:ascii="Arial" w:hAnsi="Arial"/>
          <w:lang w:val="es-PE" w:eastAsia="es-MX"/>
        </w:rPr>
      </w:pPr>
    </w:p>
    <w:p w14:paraId="4B781C1F" w14:textId="77777777" w:rsidR="009E3407" w:rsidRPr="000C2E89" w:rsidRDefault="009E3407" w:rsidP="009E3407">
      <w:pPr>
        <w:pBdr>
          <w:top w:val="single" w:sz="4" w:space="0" w:color="000000"/>
          <w:left w:val="single" w:sz="4" w:space="4" w:color="000000"/>
          <w:bottom w:val="single" w:sz="4" w:space="1" w:color="000000"/>
          <w:right w:val="single" w:sz="4" w:space="4" w:color="000000"/>
        </w:pBdr>
        <w:shd w:val="clear" w:color="auto" w:fill="BFBFBF"/>
        <w:spacing w:line="276" w:lineRule="auto"/>
        <w:ind w:hanging="2"/>
      </w:pPr>
      <w:r w:rsidRPr="000C2E89">
        <w:rPr>
          <w:b/>
        </w:rPr>
        <w:t>4. INFORMES</w:t>
      </w:r>
    </w:p>
    <w:p w14:paraId="59DBA4BB" w14:textId="77777777" w:rsidR="009E3407" w:rsidRPr="000C2E89" w:rsidRDefault="009E3407" w:rsidP="009E3407">
      <w:pPr>
        <w:spacing w:line="276" w:lineRule="auto"/>
        <w:ind w:hanging="2"/>
        <w:jc w:val="both"/>
      </w:pPr>
      <w:bookmarkStart w:id="10" w:name="_heading=h.2et92p0" w:colFirst="0" w:colLast="0"/>
      <w:bookmarkEnd w:id="10"/>
    </w:p>
    <w:p w14:paraId="5A4B811C" w14:textId="77777777" w:rsidR="009E3407" w:rsidRPr="000C2E89" w:rsidRDefault="009E3407" w:rsidP="009E3407">
      <w:pPr>
        <w:spacing w:line="276" w:lineRule="auto"/>
        <w:ind w:hanging="2"/>
        <w:jc w:val="both"/>
        <w:rPr>
          <w:highlight w:val="white"/>
        </w:rPr>
      </w:pPr>
      <w:r w:rsidRPr="000C2E89">
        <w:rPr>
          <w:highlight w:val="white"/>
        </w:rPr>
        <w:t>El consultor (a) presentará informes mensuales respecto</w:t>
      </w:r>
      <w:sdt>
        <w:sdtPr>
          <w:tag w:val="goog_rdk_12"/>
          <w:id w:val="1071622085"/>
        </w:sdtPr>
        <w:sdtContent>
          <w:r w:rsidRPr="000C2E89">
            <w:rPr>
              <w:highlight w:val="white"/>
            </w:rPr>
            <w:t xml:space="preserve"> a</w:t>
          </w:r>
        </w:sdtContent>
      </w:sdt>
      <w:r w:rsidRPr="000C2E89">
        <w:rPr>
          <w:highlight w:val="white"/>
        </w:rPr>
        <w:t xml:space="preserve"> las actividades desarrolladas, según el numeral 3 del presente t</w:t>
      </w:r>
      <w:sdt>
        <w:sdtPr>
          <w:tag w:val="goog_rdk_13"/>
          <w:id w:val="-1614196109"/>
        </w:sdtPr>
        <w:sdtContent>
          <w:r w:rsidRPr="000C2E89">
            <w:rPr>
              <w:highlight w:val="white"/>
            </w:rPr>
            <w:t>é</w:t>
          </w:r>
        </w:sdtContent>
      </w:sdt>
      <w:r w:rsidRPr="000C2E89">
        <w:rPr>
          <w:highlight w:val="white"/>
        </w:rPr>
        <w:t xml:space="preserve">rmino de referencia. Adicionalmente el consultor (a) deberá presentar cualquier informe adicional que se le solicite en relación con el </w:t>
      </w:r>
      <w:r w:rsidRPr="000C2E89">
        <w:rPr>
          <w:highlight w:val="white"/>
        </w:rPr>
        <w:lastRenderedPageBreak/>
        <w:t xml:space="preserve">desarrollo del objeto del contrato. </w:t>
      </w:r>
    </w:p>
    <w:p w14:paraId="1DA4ED95" w14:textId="77777777" w:rsidR="009E3407" w:rsidRPr="000C2E89" w:rsidRDefault="009E3407" w:rsidP="009E3407">
      <w:pPr>
        <w:pBdr>
          <w:top w:val="nil"/>
          <w:left w:val="nil"/>
          <w:bottom w:val="nil"/>
          <w:right w:val="nil"/>
          <w:between w:val="nil"/>
        </w:pBdr>
        <w:spacing w:line="276" w:lineRule="auto"/>
        <w:ind w:hanging="2"/>
        <w:jc w:val="both"/>
        <w:rPr>
          <w:color w:val="000000"/>
        </w:rPr>
      </w:pPr>
    </w:p>
    <w:p w14:paraId="5B3B41DF" w14:textId="77777777" w:rsidR="009E3407" w:rsidRPr="000C2E89" w:rsidRDefault="009E3407" w:rsidP="009E3407">
      <w:pPr>
        <w:spacing w:line="276" w:lineRule="auto"/>
        <w:ind w:hanging="2"/>
        <w:jc w:val="both"/>
        <w:rPr>
          <w:highlight w:val="white"/>
        </w:rPr>
      </w:pPr>
      <w:r w:rsidRPr="000C2E89">
        <w:rPr>
          <w:highlight w:val="white"/>
        </w:rPr>
        <w:t>Todos los informes antes relacionados deben contar con la aprobación de la Coordinación Adjunta del Proyecto o en la que persona que el delegue.</w:t>
      </w:r>
    </w:p>
    <w:p w14:paraId="0B5AF290" w14:textId="77777777" w:rsidR="009E3407" w:rsidRPr="000C2E89" w:rsidRDefault="009E3407" w:rsidP="009E3407">
      <w:pPr>
        <w:spacing w:line="276" w:lineRule="auto"/>
        <w:ind w:hanging="2"/>
        <w:jc w:val="both"/>
        <w:rPr>
          <w:highlight w:val="white"/>
        </w:rPr>
      </w:pPr>
      <w:bookmarkStart w:id="11" w:name="_heading=h.tyjcwt" w:colFirst="0" w:colLast="0"/>
      <w:bookmarkEnd w:id="11"/>
    </w:p>
    <w:p w14:paraId="3B183D07" w14:textId="77777777" w:rsidR="009E3407" w:rsidRPr="000C2E89" w:rsidRDefault="009E3407" w:rsidP="009E3407">
      <w:pPr>
        <w:spacing w:line="276" w:lineRule="auto"/>
        <w:ind w:hanging="2"/>
        <w:jc w:val="both"/>
        <w:rPr>
          <w:highlight w:val="white"/>
        </w:rPr>
      </w:pPr>
      <w:r w:rsidRPr="000C2E89">
        <w:rPr>
          <w:highlight w:val="white"/>
        </w:rPr>
        <w:t xml:space="preserve">En caso de terminación anticipada del contrato, es prerrequisito para el pago, la entrega de un informe final al Supervisor del contrato, acompañado de ser necesario de las tareas pendientes y archivos en medio magnético y/o físico. </w:t>
      </w:r>
    </w:p>
    <w:p w14:paraId="2BEA10A8" w14:textId="77777777" w:rsidR="009E3407" w:rsidRPr="000C2E89" w:rsidRDefault="009E3407" w:rsidP="009E3407">
      <w:pPr>
        <w:spacing w:line="276" w:lineRule="auto"/>
        <w:ind w:hanging="2"/>
        <w:jc w:val="both"/>
        <w:rPr>
          <w:highlight w:val="white"/>
        </w:rPr>
      </w:pPr>
    </w:p>
    <w:p w14:paraId="4D8DD213" w14:textId="77777777" w:rsidR="009E3407" w:rsidRPr="000C2E89" w:rsidRDefault="009E3407" w:rsidP="009E3407">
      <w:pPr>
        <w:spacing w:line="276" w:lineRule="auto"/>
        <w:ind w:hanging="2"/>
        <w:jc w:val="both"/>
        <w:rPr>
          <w:highlight w:val="white"/>
        </w:rPr>
      </w:pPr>
      <w:r w:rsidRPr="000C2E89">
        <w:rPr>
          <w:highlight w:val="white"/>
        </w:rPr>
        <w:t>Si a juicio del Supervisor del Contrato existieran modificaciones, adiciones o aclaraciones que deban hacerse al informe y/o producto establecido como obligación del Consultor (a), éste tendrá que realizarlas, y sólo hasta el momento en que se incluyan y tengan el visto bueno y/o conformidad del Supervisor se considerará entregado en debida forma.</w:t>
      </w:r>
    </w:p>
    <w:p w14:paraId="54C102F6" w14:textId="77777777" w:rsidR="009E3407" w:rsidRDefault="009E3407" w:rsidP="009E3407">
      <w:pPr>
        <w:spacing w:line="276" w:lineRule="auto"/>
        <w:ind w:hanging="2"/>
        <w:jc w:val="both"/>
      </w:pPr>
    </w:p>
    <w:p w14:paraId="0B9B6BF7" w14:textId="77777777" w:rsidR="009E3407" w:rsidRPr="000C2E89" w:rsidRDefault="009E3407" w:rsidP="009E3407">
      <w:pPr>
        <w:spacing w:line="276" w:lineRule="auto"/>
        <w:ind w:hanging="2"/>
        <w:jc w:val="both"/>
      </w:pPr>
    </w:p>
    <w:p w14:paraId="648998FA" w14:textId="77777777" w:rsidR="009E3407" w:rsidRPr="000C2E89" w:rsidRDefault="009E3407" w:rsidP="009E3407">
      <w:pPr>
        <w:pBdr>
          <w:top w:val="single" w:sz="4" w:space="1" w:color="000000"/>
          <w:left w:val="single" w:sz="4" w:space="4" w:color="000000"/>
          <w:bottom w:val="single" w:sz="4" w:space="1" w:color="000000"/>
          <w:right w:val="single" w:sz="4" w:space="4" w:color="000000"/>
          <w:between w:val="nil"/>
        </w:pBdr>
        <w:shd w:val="clear" w:color="auto" w:fill="BFBFBF"/>
        <w:spacing w:line="276" w:lineRule="auto"/>
        <w:ind w:hanging="2"/>
        <w:rPr>
          <w:color w:val="000000"/>
        </w:rPr>
      </w:pPr>
      <w:r w:rsidRPr="000C2E89">
        <w:rPr>
          <w:b/>
          <w:color w:val="000000"/>
        </w:rPr>
        <w:t>5. CONFIDENCIALIDAD</w:t>
      </w:r>
    </w:p>
    <w:p w14:paraId="0DBE9C25" w14:textId="77777777" w:rsidR="009E3407" w:rsidRPr="000C2E89" w:rsidRDefault="009E3407" w:rsidP="009E3407">
      <w:pPr>
        <w:spacing w:line="276" w:lineRule="auto"/>
        <w:ind w:hanging="2"/>
        <w:jc w:val="both"/>
      </w:pPr>
    </w:p>
    <w:p w14:paraId="6478EB71" w14:textId="77777777" w:rsidR="009E3407" w:rsidRPr="000C2E89" w:rsidRDefault="009E3407" w:rsidP="009E3407">
      <w:pPr>
        <w:spacing w:line="276" w:lineRule="auto"/>
        <w:ind w:hanging="2"/>
        <w:jc w:val="both"/>
        <w:rPr>
          <w:highlight w:val="white"/>
        </w:rPr>
      </w:pPr>
      <w:r w:rsidRPr="000C2E89">
        <w:rPr>
          <w:highlight w:val="white"/>
        </w:rPr>
        <w:t>Toda información obtenida por el Consultor, así como sus informes y los documentos que produzca, relacionados con la ejecución de su contrato, deberá ser considerada confidencial, no pudiendo ser divulgados sin autorización expresa por escrito del PROCIENCIA.</w:t>
      </w:r>
    </w:p>
    <w:p w14:paraId="0DED2A24" w14:textId="77777777" w:rsidR="009E3407" w:rsidRDefault="009E3407" w:rsidP="009E3407">
      <w:pPr>
        <w:pBdr>
          <w:top w:val="nil"/>
          <w:left w:val="nil"/>
          <w:bottom w:val="nil"/>
          <w:right w:val="nil"/>
          <w:between w:val="nil"/>
        </w:pBdr>
        <w:spacing w:line="276" w:lineRule="auto"/>
        <w:ind w:hanging="2"/>
        <w:jc w:val="center"/>
        <w:rPr>
          <w:color w:val="000000"/>
        </w:rPr>
      </w:pPr>
    </w:p>
    <w:p w14:paraId="5E76639E" w14:textId="77777777" w:rsidR="009E3407" w:rsidRPr="000C2E89" w:rsidRDefault="009E3407" w:rsidP="009E3407">
      <w:pPr>
        <w:pBdr>
          <w:top w:val="nil"/>
          <w:left w:val="nil"/>
          <w:bottom w:val="nil"/>
          <w:right w:val="nil"/>
          <w:between w:val="nil"/>
        </w:pBdr>
        <w:spacing w:line="276" w:lineRule="auto"/>
        <w:ind w:hanging="2"/>
        <w:jc w:val="center"/>
        <w:rPr>
          <w:color w:val="000000"/>
        </w:rPr>
      </w:pPr>
    </w:p>
    <w:p w14:paraId="7ED89B9B"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6. DURACIÓN</w:t>
      </w:r>
    </w:p>
    <w:p w14:paraId="56D68923" w14:textId="77777777" w:rsidR="009E3407" w:rsidRPr="000C2E89" w:rsidRDefault="009E3407" w:rsidP="009E3407">
      <w:pPr>
        <w:spacing w:line="276" w:lineRule="auto"/>
        <w:ind w:hanging="2"/>
        <w:jc w:val="center"/>
      </w:pPr>
      <w:bookmarkStart w:id="12" w:name="_heading=h.3dy6vkm" w:colFirst="0" w:colLast="0"/>
      <w:bookmarkEnd w:id="12"/>
    </w:p>
    <w:p w14:paraId="7F57D90E" w14:textId="77777777" w:rsidR="009E3407" w:rsidRPr="000C2E89" w:rsidRDefault="009E3407" w:rsidP="009E3407">
      <w:pPr>
        <w:spacing w:line="276" w:lineRule="auto"/>
        <w:ind w:hanging="2"/>
        <w:jc w:val="both"/>
        <w:rPr>
          <w:highlight w:val="white"/>
        </w:rPr>
      </w:pPr>
      <w:r w:rsidRPr="000C2E89">
        <w:rPr>
          <w:highlight w:val="white"/>
        </w:rPr>
        <w:t>El servicio tendrá vigencia de doce (12) meses contados a partir del día siguiente de suscrito el contrato, por la modalidad de consultoría. El contrato podrá renovarse según la evaluación de resultados.</w:t>
      </w:r>
    </w:p>
    <w:p w14:paraId="682EEA04" w14:textId="77777777" w:rsidR="009E3407" w:rsidRDefault="009E3407" w:rsidP="009E3407">
      <w:pPr>
        <w:pBdr>
          <w:top w:val="nil"/>
          <w:left w:val="nil"/>
          <w:bottom w:val="nil"/>
          <w:right w:val="nil"/>
          <w:between w:val="nil"/>
        </w:pBdr>
        <w:spacing w:line="276" w:lineRule="auto"/>
        <w:ind w:right="3" w:hanging="2"/>
        <w:jc w:val="both"/>
        <w:rPr>
          <w:color w:val="000000"/>
        </w:rPr>
      </w:pPr>
    </w:p>
    <w:p w14:paraId="6AD48613" w14:textId="77777777" w:rsidR="009E3407" w:rsidRPr="000C2E89" w:rsidRDefault="009E3407" w:rsidP="009E3407">
      <w:pPr>
        <w:pBdr>
          <w:top w:val="nil"/>
          <w:left w:val="nil"/>
          <w:bottom w:val="nil"/>
          <w:right w:val="nil"/>
          <w:between w:val="nil"/>
        </w:pBdr>
        <w:spacing w:line="276" w:lineRule="auto"/>
        <w:ind w:right="3" w:hanging="2"/>
        <w:jc w:val="both"/>
        <w:rPr>
          <w:color w:val="000000"/>
        </w:rPr>
      </w:pPr>
    </w:p>
    <w:p w14:paraId="762872F2"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7. PERFIL MÍNIMO</w:t>
      </w:r>
    </w:p>
    <w:p w14:paraId="08CEAB6C" w14:textId="77777777" w:rsidR="009E3407" w:rsidRPr="000C2E89" w:rsidRDefault="009E3407" w:rsidP="009E3407">
      <w:pPr>
        <w:spacing w:line="276" w:lineRule="auto"/>
        <w:ind w:hanging="2"/>
        <w:jc w:val="both"/>
        <w:rPr>
          <w:highlight w:val="white"/>
        </w:rPr>
      </w:pPr>
      <w:bookmarkStart w:id="13" w:name="_heading=h.4d34og8" w:colFirst="0" w:colLast="0"/>
      <w:bookmarkEnd w:id="13"/>
    </w:p>
    <w:p w14:paraId="7B930B4C" w14:textId="77777777" w:rsidR="009E3407" w:rsidRPr="000C2E89" w:rsidRDefault="009E3407" w:rsidP="009E3407">
      <w:pPr>
        <w:pBdr>
          <w:top w:val="nil"/>
          <w:left w:val="nil"/>
          <w:bottom w:val="nil"/>
          <w:right w:val="nil"/>
          <w:between w:val="nil"/>
        </w:pBdr>
        <w:spacing w:line="276" w:lineRule="auto"/>
        <w:ind w:hanging="2"/>
        <w:jc w:val="both"/>
        <w:rPr>
          <w:color w:val="000000"/>
        </w:rPr>
      </w:pPr>
      <w:r w:rsidRPr="000C2E89">
        <w:rPr>
          <w:b/>
          <w:color w:val="000000"/>
        </w:rPr>
        <w:t>FORMACIÓN ACAD</w:t>
      </w:r>
      <w:sdt>
        <w:sdtPr>
          <w:tag w:val="goog_rdk_15"/>
          <w:id w:val="-882239804"/>
        </w:sdtPr>
        <w:sdtContent>
          <w:r w:rsidRPr="000C2E89">
            <w:rPr>
              <w:b/>
              <w:color w:val="000000"/>
            </w:rPr>
            <w:t>É</w:t>
          </w:r>
        </w:sdtContent>
      </w:sdt>
      <w:r w:rsidRPr="000C2E89">
        <w:rPr>
          <w:b/>
          <w:color w:val="000000"/>
        </w:rPr>
        <w:t>MICA:</w:t>
      </w:r>
    </w:p>
    <w:p w14:paraId="5325643C" w14:textId="77777777" w:rsidR="009E3407" w:rsidRPr="0053210C"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pPr>
      <w:r w:rsidRPr="000C2E89">
        <w:rPr>
          <w:highlight w:val="white"/>
        </w:rPr>
        <w:t xml:space="preserve">Profesional titulado en </w:t>
      </w:r>
      <w:r w:rsidRPr="0053210C">
        <w:t>Derecho, Economía, Administración, Contaduría Pública,</w:t>
      </w:r>
      <w:r>
        <w:t xml:space="preserve"> </w:t>
      </w:r>
      <w:r w:rsidRPr="001C6CFF">
        <w:t>Ingeniería Administrativa</w:t>
      </w:r>
      <w:r w:rsidRPr="0053210C">
        <w:t xml:space="preserve"> Ingeniería</w:t>
      </w:r>
      <w:r>
        <w:t>s</w:t>
      </w:r>
      <w:r w:rsidRPr="0053210C">
        <w:t xml:space="preserve"> o carreras afines.</w:t>
      </w:r>
    </w:p>
    <w:p w14:paraId="5C8334ED" w14:textId="77777777" w:rsidR="009E3407" w:rsidRPr="000C2E89"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color w:val="000000"/>
          <w:highlight w:val="white"/>
        </w:rPr>
      </w:pPr>
      <w:r>
        <w:rPr>
          <w:rFonts w:eastAsia="Times New Roman"/>
          <w:color w:val="000000"/>
        </w:rPr>
        <w:t>Deseable c</w:t>
      </w:r>
      <w:r w:rsidRPr="000C2E89">
        <w:rPr>
          <w:rFonts w:eastAsia="Times New Roman"/>
          <w:color w:val="000000"/>
        </w:rPr>
        <w:t>u</w:t>
      </w:r>
      <w:r w:rsidRPr="000C2E89">
        <w:rPr>
          <w:highlight w:val="white"/>
        </w:rPr>
        <w:t xml:space="preserve">rsos de especialización en temas vinculados a la gestión pública. </w:t>
      </w:r>
    </w:p>
    <w:p w14:paraId="30924DDA" w14:textId="77777777" w:rsidR="009E3407" w:rsidRPr="000C2E89" w:rsidRDefault="009E3407" w:rsidP="009E3407">
      <w:pPr>
        <w:pBdr>
          <w:top w:val="nil"/>
          <w:left w:val="nil"/>
          <w:bottom w:val="nil"/>
          <w:right w:val="nil"/>
          <w:between w:val="nil"/>
        </w:pBdr>
        <w:spacing w:line="276" w:lineRule="auto"/>
        <w:ind w:hanging="2"/>
        <w:jc w:val="both"/>
        <w:rPr>
          <w:color w:val="000000"/>
        </w:rPr>
      </w:pPr>
    </w:p>
    <w:p w14:paraId="77C1714B" w14:textId="77777777" w:rsidR="009E3407" w:rsidRPr="000C2E89" w:rsidRDefault="009E3407" w:rsidP="009E3407">
      <w:pPr>
        <w:pBdr>
          <w:top w:val="nil"/>
          <w:left w:val="nil"/>
          <w:bottom w:val="nil"/>
          <w:right w:val="nil"/>
          <w:between w:val="nil"/>
        </w:pBdr>
        <w:tabs>
          <w:tab w:val="left" w:pos="810"/>
        </w:tabs>
        <w:spacing w:line="276" w:lineRule="auto"/>
        <w:ind w:right="420" w:hanging="2"/>
        <w:jc w:val="both"/>
        <w:rPr>
          <w:color w:val="000000"/>
        </w:rPr>
      </w:pPr>
      <w:r w:rsidRPr="000C2E89">
        <w:rPr>
          <w:b/>
          <w:color w:val="000000"/>
        </w:rPr>
        <w:t>EXPERIENCIA:</w:t>
      </w:r>
    </w:p>
    <w:p w14:paraId="532446ED" w14:textId="77777777" w:rsidR="009E3407" w:rsidRPr="007A6DE4"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highlight w:val="white"/>
        </w:rPr>
      </w:pPr>
      <w:r w:rsidRPr="007A6DE4">
        <w:rPr>
          <w:highlight w:val="white"/>
        </w:rPr>
        <w:t xml:space="preserve">Experiencia general laboral de diez (10) años en el sector público y/o privado, y/u organismos internacionales vinculados a su especialidad. </w:t>
      </w:r>
    </w:p>
    <w:p w14:paraId="31C1D587" w14:textId="77777777" w:rsidR="009E3407" w:rsidRPr="007A6DE4" w:rsidRDefault="009E3407" w:rsidP="009E3407">
      <w:pPr>
        <w:numPr>
          <w:ilvl w:val="0"/>
          <w:numId w:val="13"/>
        </w:numPr>
        <w:pBdr>
          <w:top w:val="nil"/>
          <w:left w:val="nil"/>
          <w:bottom w:val="nil"/>
          <w:right w:val="nil"/>
          <w:between w:val="nil"/>
        </w:pBdr>
        <w:suppressAutoHyphens/>
        <w:autoSpaceDE/>
        <w:autoSpaceDN/>
        <w:spacing w:line="276" w:lineRule="auto"/>
        <w:jc w:val="both"/>
        <w:textDirection w:val="btLr"/>
        <w:textAlignment w:val="top"/>
        <w:outlineLvl w:val="0"/>
        <w:rPr>
          <w:highlight w:val="white"/>
        </w:rPr>
      </w:pPr>
      <w:r w:rsidRPr="007A6DE4">
        <w:rPr>
          <w:highlight w:val="white"/>
        </w:rPr>
        <w:t>Cinco (05) años de experiencia como especialista de adquisiciones y contrataciones aplicando las Normas del BIRF y/o BID en el Sector Público, Privado y/u Organismos internacionales.</w:t>
      </w:r>
    </w:p>
    <w:p w14:paraId="7429774E" w14:textId="77777777" w:rsidR="009E3407" w:rsidRPr="000C2E89" w:rsidRDefault="009E3407" w:rsidP="009E3407">
      <w:pPr>
        <w:spacing w:line="276" w:lineRule="auto"/>
        <w:jc w:val="both"/>
      </w:pPr>
    </w:p>
    <w:p w14:paraId="75D2CE50"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8. SUPERVISOR</w:t>
      </w:r>
    </w:p>
    <w:p w14:paraId="3341D151" w14:textId="77777777" w:rsidR="009E3407" w:rsidRPr="000C2E89" w:rsidRDefault="009E3407" w:rsidP="009E3407">
      <w:pPr>
        <w:spacing w:line="276" w:lineRule="auto"/>
        <w:ind w:hanging="2"/>
        <w:jc w:val="both"/>
      </w:pPr>
    </w:p>
    <w:p w14:paraId="7F07ECCF" w14:textId="77777777" w:rsidR="009E3407" w:rsidRPr="000C2E89" w:rsidRDefault="009E3407" w:rsidP="009E3407">
      <w:pPr>
        <w:spacing w:line="276" w:lineRule="auto"/>
        <w:ind w:hanging="2"/>
        <w:jc w:val="both"/>
      </w:pPr>
      <w:r w:rsidRPr="000C2E89">
        <w:rPr>
          <w:highlight w:val="white"/>
        </w:rPr>
        <w:lastRenderedPageBreak/>
        <w:t>La supervisión del servicio estará a cargo del Coordinador Adjunto del Proyecto.</w:t>
      </w:r>
    </w:p>
    <w:p w14:paraId="6E14BFFA" w14:textId="77777777" w:rsidR="009E3407" w:rsidRDefault="009E3407" w:rsidP="009E3407">
      <w:pPr>
        <w:spacing w:line="276" w:lineRule="auto"/>
        <w:ind w:hanging="2"/>
        <w:jc w:val="both"/>
      </w:pPr>
    </w:p>
    <w:p w14:paraId="2D15C08C" w14:textId="77777777" w:rsidR="009E3407" w:rsidRPr="000C2E89" w:rsidRDefault="009E3407" w:rsidP="009E3407">
      <w:pPr>
        <w:spacing w:line="276" w:lineRule="auto"/>
        <w:ind w:hanging="2"/>
        <w:jc w:val="both"/>
      </w:pPr>
    </w:p>
    <w:p w14:paraId="368895E6" w14:textId="77777777" w:rsidR="009E3407" w:rsidRPr="000C2E89" w:rsidRDefault="009E3407" w:rsidP="009E3407">
      <w:pPr>
        <w:pBdr>
          <w:top w:val="single" w:sz="4" w:space="1" w:color="000000"/>
          <w:left w:val="single" w:sz="4" w:space="4" w:color="000000"/>
          <w:bottom w:val="single" w:sz="4" w:space="1" w:color="000000"/>
          <w:right w:val="single" w:sz="4" w:space="4" w:color="000000"/>
        </w:pBdr>
        <w:shd w:val="clear" w:color="auto" w:fill="BFBFBF"/>
        <w:spacing w:line="276" w:lineRule="auto"/>
        <w:ind w:hanging="2"/>
      </w:pPr>
      <w:r w:rsidRPr="000C2E89">
        <w:rPr>
          <w:b/>
        </w:rPr>
        <w:t>9</w:t>
      </w:r>
      <w:r>
        <w:rPr>
          <w:b/>
        </w:rPr>
        <w:t>.</w:t>
      </w:r>
      <w:r w:rsidRPr="000C2E89">
        <w:rPr>
          <w:b/>
        </w:rPr>
        <w:t xml:space="preserve"> CRITERIOS DE SELECCIÓN</w:t>
      </w:r>
    </w:p>
    <w:p w14:paraId="30EB66A2" w14:textId="77777777" w:rsidR="009E3407" w:rsidRPr="000C2E89" w:rsidRDefault="009E3407" w:rsidP="009E3407">
      <w:pPr>
        <w:spacing w:line="276" w:lineRule="auto"/>
        <w:ind w:hanging="2"/>
        <w:jc w:val="both"/>
        <w:rPr>
          <w:b/>
          <w:bCs/>
          <w:u w:val="single"/>
        </w:rPr>
      </w:pPr>
    </w:p>
    <w:p w14:paraId="51CD12AB" w14:textId="77777777" w:rsidR="009E3407" w:rsidRPr="000C2E89" w:rsidRDefault="009E3407" w:rsidP="009E3407">
      <w:pPr>
        <w:spacing w:line="276" w:lineRule="auto"/>
        <w:ind w:hanging="2"/>
        <w:jc w:val="both"/>
        <w:rPr>
          <w:highlight w:val="white"/>
        </w:rPr>
      </w:pPr>
      <w:r w:rsidRPr="000C2E89">
        <w:rPr>
          <w:highlight w:val="white"/>
        </w:rPr>
        <w:t>Con los candidatos que cumplan el PERFIL MÍNIMO REQUERIDO, se realizará la comparación y evaluación de las hojas de vidas, de acuerdo con los siguientes criterios de selección:</w:t>
      </w:r>
    </w:p>
    <w:p w14:paraId="4351FE57" w14:textId="77777777" w:rsidR="009E3407" w:rsidRPr="000C2E89" w:rsidRDefault="009E3407" w:rsidP="009E3407">
      <w:pPr>
        <w:spacing w:line="276" w:lineRule="auto"/>
        <w:ind w:hanging="2"/>
        <w:jc w:val="both"/>
        <w:rPr>
          <w:highlight w:val="white"/>
        </w:rPr>
      </w:pP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0"/>
        <w:gridCol w:w="3553"/>
        <w:gridCol w:w="805"/>
        <w:gridCol w:w="1037"/>
      </w:tblGrid>
      <w:tr w:rsidR="009E3407" w:rsidRPr="000C2E89" w14:paraId="5C70ADC3" w14:textId="77777777" w:rsidTr="009809FA">
        <w:trPr>
          <w:trHeight w:val="444"/>
          <w:jc w:val="center"/>
        </w:trPr>
        <w:tc>
          <w:tcPr>
            <w:tcW w:w="3400" w:type="dxa"/>
            <w:vAlign w:val="center"/>
          </w:tcPr>
          <w:p w14:paraId="3B972FBD"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b/>
                <w:color w:val="000000"/>
                <w:sz w:val="20"/>
                <w:szCs w:val="20"/>
              </w:rPr>
              <w:t>Criterios de Selección</w:t>
            </w:r>
          </w:p>
        </w:tc>
        <w:tc>
          <w:tcPr>
            <w:tcW w:w="4357" w:type="dxa"/>
            <w:gridSpan w:val="2"/>
            <w:vAlign w:val="center"/>
          </w:tcPr>
          <w:p w14:paraId="320F4139"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b/>
                <w:color w:val="000000"/>
                <w:sz w:val="20"/>
                <w:szCs w:val="20"/>
              </w:rPr>
              <w:t>Criterio de evaluación</w:t>
            </w:r>
          </w:p>
        </w:tc>
        <w:tc>
          <w:tcPr>
            <w:tcW w:w="1037" w:type="dxa"/>
            <w:vAlign w:val="center"/>
          </w:tcPr>
          <w:p w14:paraId="0E460033"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b/>
                <w:color w:val="000000"/>
                <w:sz w:val="20"/>
                <w:szCs w:val="20"/>
              </w:rPr>
              <w:t>Puntaje</w:t>
            </w:r>
          </w:p>
          <w:p w14:paraId="2E826BDC"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b/>
                <w:color w:val="000000"/>
                <w:sz w:val="20"/>
                <w:szCs w:val="20"/>
              </w:rPr>
              <w:t>Total</w:t>
            </w:r>
          </w:p>
        </w:tc>
      </w:tr>
      <w:tr w:rsidR="009E3407" w:rsidRPr="000C2E89" w14:paraId="28316C24" w14:textId="77777777" w:rsidTr="009809FA">
        <w:trPr>
          <w:trHeight w:val="1492"/>
          <w:jc w:val="center"/>
        </w:trPr>
        <w:tc>
          <w:tcPr>
            <w:tcW w:w="3400" w:type="dxa"/>
            <w:vAlign w:val="center"/>
          </w:tcPr>
          <w:p w14:paraId="69C6FFAF" w14:textId="77777777" w:rsidR="009E3407" w:rsidRPr="000C2E89" w:rsidRDefault="009E3407" w:rsidP="009809FA">
            <w:pPr>
              <w:pBdr>
                <w:top w:val="nil"/>
                <w:left w:val="nil"/>
                <w:bottom w:val="nil"/>
                <w:right w:val="nil"/>
                <w:between w:val="nil"/>
              </w:pBdr>
              <w:spacing w:line="276" w:lineRule="auto"/>
              <w:ind w:hanging="2"/>
              <w:jc w:val="both"/>
              <w:rPr>
                <w:color w:val="000000"/>
                <w:sz w:val="20"/>
                <w:szCs w:val="20"/>
              </w:rPr>
            </w:pPr>
            <w:r w:rsidRPr="000C2E89">
              <w:rPr>
                <w:color w:val="000000"/>
                <w:sz w:val="20"/>
                <w:szCs w:val="20"/>
                <w:highlight w:val="white"/>
              </w:rPr>
              <w:t>Experiencia general laboral de diez (10) años en el sector público y/o privado, y/u organismos internacionales vinculados a su especialidad</w:t>
            </w:r>
            <w:r w:rsidRPr="000C2E89">
              <w:rPr>
                <w:color w:val="000000"/>
                <w:sz w:val="20"/>
                <w:szCs w:val="20"/>
              </w:rPr>
              <w:t xml:space="preserve"> </w:t>
            </w:r>
            <w:r w:rsidRPr="000C2E89">
              <w:rPr>
                <w:rFonts w:eastAsia="Calibri"/>
                <w:color w:val="000000"/>
                <w:sz w:val="20"/>
                <w:szCs w:val="20"/>
              </w:rPr>
              <w:t>(se califica la experiencia adicional a la mínima requerida en el perfil profesional).</w:t>
            </w:r>
          </w:p>
        </w:tc>
        <w:tc>
          <w:tcPr>
            <w:tcW w:w="4357" w:type="dxa"/>
            <w:gridSpan w:val="2"/>
          </w:tcPr>
          <w:p w14:paraId="124BC15B" w14:textId="77777777" w:rsidR="009E3407" w:rsidRPr="000C2E89" w:rsidRDefault="009E3407" w:rsidP="009809FA">
            <w:pPr>
              <w:pBdr>
                <w:top w:val="nil"/>
                <w:left w:val="nil"/>
                <w:bottom w:val="nil"/>
                <w:right w:val="nil"/>
                <w:between w:val="nil"/>
              </w:pBdr>
              <w:spacing w:line="276" w:lineRule="auto"/>
              <w:ind w:right="87" w:hanging="2"/>
              <w:jc w:val="both"/>
              <w:rPr>
                <w:color w:val="000000"/>
                <w:sz w:val="20"/>
                <w:szCs w:val="20"/>
              </w:rPr>
            </w:pPr>
            <w:r w:rsidRPr="000C2E89">
              <w:rPr>
                <w:color w:val="000000"/>
                <w:sz w:val="20"/>
                <w:szCs w:val="20"/>
              </w:rPr>
              <w:t>Se otorgará el máximo de 30 puntos al postulante que acredite la mayor cantidad de años de experiencia general en el sector público y/o privado. Otorgándose a los demás postulantes el puntaje proporcional en función a los años de experiencia que acrediten.</w:t>
            </w:r>
          </w:p>
        </w:tc>
        <w:tc>
          <w:tcPr>
            <w:tcW w:w="1037" w:type="dxa"/>
            <w:vAlign w:val="center"/>
          </w:tcPr>
          <w:p w14:paraId="7F457F4B"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color w:val="000000"/>
                <w:sz w:val="20"/>
                <w:szCs w:val="20"/>
              </w:rPr>
              <w:t>30</w:t>
            </w:r>
          </w:p>
        </w:tc>
      </w:tr>
      <w:tr w:rsidR="009E3407" w:rsidRPr="000C2E89" w14:paraId="6BA1DF59" w14:textId="77777777" w:rsidTr="009809FA">
        <w:trPr>
          <w:trHeight w:val="499"/>
          <w:jc w:val="center"/>
        </w:trPr>
        <w:tc>
          <w:tcPr>
            <w:tcW w:w="3400" w:type="dxa"/>
            <w:vAlign w:val="center"/>
          </w:tcPr>
          <w:p w14:paraId="0B0E595A" w14:textId="77777777" w:rsidR="009E3407" w:rsidRPr="000C2E89" w:rsidRDefault="009E3407" w:rsidP="009809FA">
            <w:pPr>
              <w:pBdr>
                <w:top w:val="nil"/>
                <w:left w:val="nil"/>
                <w:bottom w:val="nil"/>
                <w:right w:val="nil"/>
                <w:between w:val="nil"/>
              </w:pBdr>
              <w:tabs>
                <w:tab w:val="left" w:pos="810"/>
              </w:tabs>
              <w:spacing w:line="276" w:lineRule="auto"/>
              <w:ind w:right="87" w:hanging="2"/>
              <w:jc w:val="both"/>
              <w:rPr>
                <w:color w:val="000000"/>
                <w:sz w:val="20"/>
                <w:szCs w:val="20"/>
              </w:rPr>
            </w:pPr>
            <w:r>
              <w:rPr>
                <w:color w:val="000000"/>
                <w:sz w:val="20"/>
                <w:szCs w:val="20"/>
                <w:highlight w:val="white"/>
              </w:rPr>
              <w:t>Cinco</w:t>
            </w:r>
            <w:r w:rsidRPr="000C2E89">
              <w:rPr>
                <w:color w:val="000000"/>
                <w:sz w:val="20"/>
                <w:szCs w:val="20"/>
                <w:highlight w:val="white"/>
              </w:rPr>
              <w:t xml:space="preserve"> (0</w:t>
            </w:r>
            <w:r>
              <w:rPr>
                <w:color w:val="000000"/>
                <w:sz w:val="20"/>
                <w:szCs w:val="20"/>
                <w:highlight w:val="white"/>
              </w:rPr>
              <w:t>5</w:t>
            </w:r>
            <w:r w:rsidRPr="000C2E89">
              <w:rPr>
                <w:color w:val="000000"/>
                <w:sz w:val="20"/>
                <w:szCs w:val="20"/>
                <w:highlight w:val="white"/>
              </w:rPr>
              <w:t>) años de experiencia laboral específica en la realización de proceso de adquisiciones y contrataciones aplicando las Normas del BIRF y/o BID en el Sector Público, Privado y/u Organismos internacionales.</w:t>
            </w:r>
            <w:r w:rsidRPr="000C2E89">
              <w:rPr>
                <w:color w:val="000000"/>
                <w:sz w:val="20"/>
                <w:szCs w:val="20"/>
              </w:rPr>
              <w:t xml:space="preserve"> </w:t>
            </w:r>
            <w:r w:rsidRPr="000C2E89">
              <w:rPr>
                <w:rFonts w:eastAsia="Calibri"/>
                <w:color w:val="000000"/>
                <w:sz w:val="20"/>
                <w:szCs w:val="20"/>
              </w:rPr>
              <w:t>(</w:t>
            </w:r>
            <w:r w:rsidRPr="000C2E89">
              <w:rPr>
                <w:color w:val="000000"/>
                <w:sz w:val="20"/>
                <w:szCs w:val="20"/>
              </w:rPr>
              <w:t>se califica la experiencia adicional a la mínima requerida en el perfil profesional).</w:t>
            </w:r>
          </w:p>
        </w:tc>
        <w:tc>
          <w:tcPr>
            <w:tcW w:w="4357" w:type="dxa"/>
            <w:gridSpan w:val="2"/>
            <w:vAlign w:val="center"/>
          </w:tcPr>
          <w:p w14:paraId="408694FB" w14:textId="77777777" w:rsidR="009E3407" w:rsidRPr="000C2E89" w:rsidRDefault="009E3407" w:rsidP="009809FA">
            <w:pPr>
              <w:pBdr>
                <w:top w:val="nil"/>
                <w:left w:val="nil"/>
                <w:bottom w:val="nil"/>
                <w:right w:val="nil"/>
                <w:between w:val="nil"/>
              </w:pBdr>
              <w:tabs>
                <w:tab w:val="left" w:pos="810"/>
              </w:tabs>
              <w:spacing w:line="276" w:lineRule="auto"/>
              <w:ind w:right="87" w:hanging="2"/>
              <w:jc w:val="both"/>
              <w:rPr>
                <w:color w:val="000000"/>
                <w:sz w:val="20"/>
                <w:szCs w:val="20"/>
              </w:rPr>
            </w:pPr>
            <w:r w:rsidRPr="000C2E89">
              <w:rPr>
                <w:color w:val="000000"/>
                <w:sz w:val="20"/>
                <w:szCs w:val="20"/>
              </w:rPr>
              <w:t xml:space="preserve">Se otorgará el máximo de 50 puntos al postulante que acredite la mayor cantidad de años de experiencia </w:t>
            </w:r>
            <w:r w:rsidRPr="000C2E89">
              <w:rPr>
                <w:color w:val="000000"/>
                <w:sz w:val="20"/>
                <w:szCs w:val="20"/>
                <w:highlight w:val="white"/>
              </w:rPr>
              <w:t xml:space="preserve">laboral específica en la realización de proceso de adquisiciones y contrataciones aplicando las Normas del BIRF y/o BID en el Sector Público, Privado y/u Organismos internacionales. </w:t>
            </w:r>
            <w:r w:rsidRPr="000C2E89">
              <w:rPr>
                <w:color w:val="000000"/>
                <w:sz w:val="20"/>
                <w:szCs w:val="20"/>
              </w:rPr>
              <w:t>Otorgándose a los demás postulantes el puntaje proporcional en función a los años de experiencia que acrediten.</w:t>
            </w:r>
          </w:p>
        </w:tc>
        <w:tc>
          <w:tcPr>
            <w:tcW w:w="1037" w:type="dxa"/>
            <w:vAlign w:val="center"/>
          </w:tcPr>
          <w:p w14:paraId="060E3F5F"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color w:val="000000"/>
                <w:sz w:val="20"/>
                <w:szCs w:val="20"/>
              </w:rPr>
              <w:t>50</w:t>
            </w:r>
          </w:p>
        </w:tc>
      </w:tr>
      <w:tr w:rsidR="009E3407" w:rsidRPr="000C2E89" w14:paraId="2B4984FF" w14:textId="77777777" w:rsidTr="009809FA">
        <w:trPr>
          <w:cantSplit/>
          <w:trHeight w:val="613"/>
          <w:jc w:val="center"/>
        </w:trPr>
        <w:tc>
          <w:tcPr>
            <w:tcW w:w="3400" w:type="dxa"/>
            <w:vMerge w:val="restart"/>
            <w:vAlign w:val="center"/>
          </w:tcPr>
          <w:p w14:paraId="3C02503E" w14:textId="77777777" w:rsidR="009E3407" w:rsidRPr="000C2E89" w:rsidRDefault="009E3407" w:rsidP="009809FA">
            <w:pPr>
              <w:pBdr>
                <w:top w:val="nil"/>
                <w:left w:val="nil"/>
                <w:bottom w:val="nil"/>
                <w:right w:val="nil"/>
                <w:between w:val="nil"/>
              </w:pBdr>
              <w:spacing w:line="276" w:lineRule="auto"/>
              <w:ind w:hanging="2"/>
              <w:jc w:val="both"/>
              <w:rPr>
                <w:color w:val="000000"/>
                <w:sz w:val="20"/>
                <w:szCs w:val="20"/>
              </w:rPr>
            </w:pPr>
            <w:r w:rsidRPr="000C2E89">
              <w:rPr>
                <w:color w:val="000000"/>
                <w:sz w:val="20"/>
                <w:szCs w:val="20"/>
              </w:rPr>
              <w:t>Grado académico</w:t>
            </w:r>
          </w:p>
        </w:tc>
        <w:tc>
          <w:tcPr>
            <w:tcW w:w="3553" w:type="dxa"/>
            <w:vAlign w:val="center"/>
          </w:tcPr>
          <w:p w14:paraId="3FCD3E8E" w14:textId="77777777" w:rsidR="009E3407" w:rsidRPr="000C2E89" w:rsidRDefault="009E3407" w:rsidP="009809FA">
            <w:pPr>
              <w:adjustRightInd w:val="0"/>
              <w:spacing w:line="276" w:lineRule="auto"/>
              <w:jc w:val="both"/>
              <w:rPr>
                <w:color w:val="000000"/>
                <w:sz w:val="20"/>
                <w:szCs w:val="20"/>
              </w:rPr>
            </w:pPr>
            <w:r w:rsidRPr="000C2E89">
              <w:rPr>
                <w:color w:val="000000"/>
                <w:sz w:val="20"/>
                <w:szCs w:val="20"/>
              </w:rPr>
              <w:t xml:space="preserve">Con </w:t>
            </w:r>
            <w:r>
              <w:rPr>
                <w:color w:val="000000"/>
                <w:sz w:val="20"/>
                <w:szCs w:val="20"/>
              </w:rPr>
              <w:t xml:space="preserve">Maestría </w:t>
            </w:r>
            <w:r w:rsidRPr="000C2E89">
              <w:rPr>
                <w:color w:val="000000"/>
                <w:sz w:val="20"/>
                <w:szCs w:val="20"/>
              </w:rPr>
              <w:t>en temas relacionados a  Derecho, Economía, Administración, Ingeniería</w:t>
            </w:r>
            <w:r>
              <w:rPr>
                <w:color w:val="000000"/>
                <w:sz w:val="20"/>
                <w:szCs w:val="20"/>
              </w:rPr>
              <w:t>,</w:t>
            </w:r>
            <w:r w:rsidRPr="000C2E89">
              <w:rPr>
                <w:color w:val="000000"/>
                <w:sz w:val="20"/>
                <w:szCs w:val="20"/>
              </w:rPr>
              <w:t xml:space="preserve"> </w:t>
            </w:r>
            <w:r>
              <w:rPr>
                <w:color w:val="000000"/>
                <w:sz w:val="20"/>
                <w:szCs w:val="20"/>
              </w:rPr>
              <w:t xml:space="preserve">gestión pública </w:t>
            </w:r>
            <w:r w:rsidRPr="000C2E89">
              <w:rPr>
                <w:color w:val="000000"/>
                <w:sz w:val="20"/>
                <w:szCs w:val="20"/>
              </w:rPr>
              <w:t>o carreras afines</w:t>
            </w:r>
            <w:r>
              <w:rPr>
                <w:color w:val="000000"/>
                <w:sz w:val="20"/>
                <w:szCs w:val="20"/>
              </w:rPr>
              <w:t>.(titulado)</w:t>
            </w:r>
          </w:p>
        </w:tc>
        <w:tc>
          <w:tcPr>
            <w:tcW w:w="804" w:type="dxa"/>
            <w:vAlign w:val="center"/>
          </w:tcPr>
          <w:p w14:paraId="3FE593DE"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color w:val="000000"/>
                <w:sz w:val="20"/>
                <w:szCs w:val="20"/>
              </w:rPr>
              <w:t xml:space="preserve">20 puntos </w:t>
            </w:r>
          </w:p>
        </w:tc>
        <w:tc>
          <w:tcPr>
            <w:tcW w:w="1037" w:type="dxa"/>
            <w:vMerge w:val="restart"/>
            <w:vAlign w:val="center"/>
          </w:tcPr>
          <w:p w14:paraId="65669406"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color w:val="000000"/>
                <w:sz w:val="20"/>
                <w:szCs w:val="20"/>
              </w:rPr>
              <w:t>20</w:t>
            </w:r>
          </w:p>
        </w:tc>
      </w:tr>
      <w:tr w:rsidR="009E3407" w:rsidRPr="000C2E89" w14:paraId="1AF63F6B" w14:textId="77777777" w:rsidTr="009809FA">
        <w:trPr>
          <w:cantSplit/>
          <w:trHeight w:val="614"/>
          <w:jc w:val="center"/>
        </w:trPr>
        <w:tc>
          <w:tcPr>
            <w:tcW w:w="3400" w:type="dxa"/>
            <w:vMerge/>
            <w:vAlign w:val="center"/>
          </w:tcPr>
          <w:p w14:paraId="3E7FE3CF" w14:textId="77777777" w:rsidR="009E3407" w:rsidRPr="000C2E89" w:rsidRDefault="009E3407" w:rsidP="009809FA">
            <w:pPr>
              <w:pBdr>
                <w:top w:val="nil"/>
                <w:left w:val="nil"/>
                <w:bottom w:val="nil"/>
                <w:right w:val="nil"/>
                <w:between w:val="nil"/>
              </w:pBdr>
              <w:spacing w:line="276" w:lineRule="auto"/>
              <w:ind w:hanging="2"/>
              <w:rPr>
                <w:color w:val="000000"/>
                <w:sz w:val="20"/>
                <w:szCs w:val="20"/>
              </w:rPr>
            </w:pPr>
          </w:p>
        </w:tc>
        <w:tc>
          <w:tcPr>
            <w:tcW w:w="3553" w:type="dxa"/>
            <w:vAlign w:val="center"/>
          </w:tcPr>
          <w:p w14:paraId="4B534661" w14:textId="77777777" w:rsidR="009E3407" w:rsidRPr="000C2E89" w:rsidRDefault="009E3407" w:rsidP="009809FA">
            <w:pPr>
              <w:pBdr>
                <w:top w:val="nil"/>
                <w:left w:val="nil"/>
                <w:bottom w:val="nil"/>
                <w:right w:val="nil"/>
                <w:between w:val="nil"/>
              </w:pBdr>
              <w:spacing w:line="276" w:lineRule="auto"/>
              <w:ind w:hanging="2"/>
              <w:jc w:val="both"/>
              <w:rPr>
                <w:color w:val="000000"/>
                <w:sz w:val="20"/>
                <w:szCs w:val="20"/>
              </w:rPr>
            </w:pPr>
            <w:r>
              <w:rPr>
                <w:color w:val="000000"/>
                <w:sz w:val="20"/>
                <w:szCs w:val="20"/>
              </w:rPr>
              <w:t>Deseable c</w:t>
            </w:r>
            <w:r w:rsidRPr="000C2E89">
              <w:rPr>
                <w:color w:val="000000"/>
                <w:sz w:val="20"/>
                <w:szCs w:val="20"/>
              </w:rPr>
              <w:t>on maestría en temas relacionados a Derecho, Economía, Administración, Ingeniería</w:t>
            </w:r>
            <w:r>
              <w:rPr>
                <w:color w:val="000000"/>
                <w:sz w:val="20"/>
                <w:szCs w:val="20"/>
              </w:rPr>
              <w:t xml:space="preserve">, </w:t>
            </w:r>
            <w:r w:rsidRPr="000C2E89">
              <w:rPr>
                <w:color w:val="000000"/>
                <w:sz w:val="20"/>
                <w:szCs w:val="20"/>
              </w:rPr>
              <w:t xml:space="preserve">gestión pública o carreras afines, </w:t>
            </w:r>
            <w:r>
              <w:rPr>
                <w:color w:val="000000"/>
                <w:sz w:val="20"/>
                <w:szCs w:val="20"/>
              </w:rPr>
              <w:t>(estudios o egresado).</w:t>
            </w:r>
          </w:p>
        </w:tc>
        <w:tc>
          <w:tcPr>
            <w:tcW w:w="804" w:type="dxa"/>
            <w:vAlign w:val="center"/>
          </w:tcPr>
          <w:p w14:paraId="54BFCA55" w14:textId="77777777" w:rsidR="009E3407" w:rsidRPr="000C2E89" w:rsidRDefault="009E3407" w:rsidP="009809FA">
            <w:pPr>
              <w:pBdr>
                <w:top w:val="nil"/>
                <w:left w:val="nil"/>
                <w:bottom w:val="nil"/>
                <w:right w:val="nil"/>
                <w:between w:val="nil"/>
              </w:pBdr>
              <w:spacing w:line="276" w:lineRule="auto"/>
              <w:ind w:hanging="2"/>
              <w:jc w:val="center"/>
              <w:rPr>
                <w:color w:val="000000"/>
                <w:sz w:val="20"/>
                <w:szCs w:val="20"/>
              </w:rPr>
            </w:pPr>
            <w:r w:rsidRPr="000C2E89">
              <w:rPr>
                <w:color w:val="000000"/>
                <w:sz w:val="20"/>
                <w:szCs w:val="20"/>
              </w:rPr>
              <w:t>10 puntos</w:t>
            </w:r>
          </w:p>
        </w:tc>
        <w:tc>
          <w:tcPr>
            <w:tcW w:w="1037" w:type="dxa"/>
            <w:vMerge/>
            <w:vAlign w:val="center"/>
          </w:tcPr>
          <w:p w14:paraId="5CC20993" w14:textId="77777777" w:rsidR="009E3407" w:rsidRPr="000C2E89" w:rsidRDefault="009E3407" w:rsidP="009809FA">
            <w:pPr>
              <w:pBdr>
                <w:top w:val="nil"/>
                <w:left w:val="nil"/>
                <w:bottom w:val="nil"/>
                <w:right w:val="nil"/>
                <w:between w:val="nil"/>
              </w:pBdr>
              <w:spacing w:line="276" w:lineRule="auto"/>
              <w:ind w:hanging="2"/>
              <w:rPr>
                <w:color w:val="000000"/>
                <w:sz w:val="20"/>
                <w:szCs w:val="20"/>
              </w:rPr>
            </w:pPr>
          </w:p>
        </w:tc>
      </w:tr>
      <w:tr w:rsidR="009E3407" w:rsidRPr="000C2E89" w14:paraId="6C1FAF03" w14:textId="77777777" w:rsidTr="009809FA">
        <w:trPr>
          <w:trHeight w:val="247"/>
          <w:jc w:val="center"/>
        </w:trPr>
        <w:tc>
          <w:tcPr>
            <w:tcW w:w="7758" w:type="dxa"/>
            <w:gridSpan w:val="3"/>
            <w:vAlign w:val="center"/>
          </w:tcPr>
          <w:p w14:paraId="73EBBEBD" w14:textId="77777777" w:rsidR="009E3407" w:rsidRPr="000C2E89" w:rsidRDefault="009E3407" w:rsidP="009809FA">
            <w:pPr>
              <w:pBdr>
                <w:top w:val="nil"/>
                <w:left w:val="nil"/>
                <w:bottom w:val="nil"/>
                <w:right w:val="nil"/>
                <w:between w:val="nil"/>
              </w:pBdr>
              <w:spacing w:line="276" w:lineRule="auto"/>
              <w:ind w:right="31" w:hanging="2"/>
              <w:jc w:val="center"/>
              <w:rPr>
                <w:color w:val="000000"/>
                <w:sz w:val="20"/>
                <w:szCs w:val="20"/>
              </w:rPr>
            </w:pPr>
            <w:r w:rsidRPr="000C2E89">
              <w:rPr>
                <w:b/>
                <w:color w:val="000000"/>
                <w:sz w:val="20"/>
                <w:szCs w:val="20"/>
              </w:rPr>
              <w:t>PUNTAJE TOTAL</w:t>
            </w:r>
          </w:p>
        </w:tc>
        <w:tc>
          <w:tcPr>
            <w:tcW w:w="1037" w:type="dxa"/>
            <w:vAlign w:val="center"/>
          </w:tcPr>
          <w:p w14:paraId="360154D1" w14:textId="77777777" w:rsidR="009E3407" w:rsidRPr="000C2E89" w:rsidRDefault="009E3407" w:rsidP="009809FA">
            <w:pPr>
              <w:pBdr>
                <w:top w:val="nil"/>
                <w:left w:val="nil"/>
                <w:bottom w:val="nil"/>
                <w:right w:val="nil"/>
                <w:between w:val="nil"/>
              </w:pBdr>
              <w:spacing w:line="276" w:lineRule="auto"/>
              <w:ind w:right="31" w:hanging="2"/>
              <w:jc w:val="center"/>
              <w:rPr>
                <w:color w:val="000000"/>
                <w:sz w:val="20"/>
                <w:szCs w:val="20"/>
              </w:rPr>
            </w:pPr>
            <w:r w:rsidRPr="000C2E89">
              <w:rPr>
                <w:b/>
                <w:color w:val="000000"/>
                <w:sz w:val="20"/>
                <w:szCs w:val="20"/>
              </w:rPr>
              <w:t>100</w:t>
            </w:r>
          </w:p>
        </w:tc>
      </w:tr>
    </w:tbl>
    <w:p w14:paraId="168A052C" w14:textId="77777777" w:rsidR="009E3407" w:rsidRPr="000C2E89" w:rsidRDefault="009E3407" w:rsidP="009E3407">
      <w:pPr>
        <w:spacing w:line="276" w:lineRule="auto"/>
        <w:ind w:hanging="2"/>
        <w:jc w:val="both"/>
      </w:pPr>
    </w:p>
    <w:p w14:paraId="5C03EFBE" w14:textId="77777777" w:rsidR="007D51B1" w:rsidRPr="005F35D2" w:rsidRDefault="007D51B1" w:rsidP="00F94155">
      <w:pPr>
        <w:pStyle w:val="Ttulo1"/>
        <w:spacing w:before="1"/>
        <w:ind w:left="121" w:right="140" w:firstLine="5"/>
        <w:jc w:val="center"/>
        <w:rPr>
          <w:sz w:val="21"/>
          <w:szCs w:val="21"/>
        </w:rPr>
      </w:pPr>
    </w:p>
    <w:sectPr w:rsidR="007D51B1" w:rsidRPr="005F35D2" w:rsidSect="00F94155">
      <w:headerReference w:type="default" r:id="rId9"/>
      <w:footerReference w:type="default" r:id="rId10"/>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9556" w14:textId="77777777" w:rsidR="00B7201A" w:rsidRDefault="00B7201A">
      <w:r>
        <w:separator/>
      </w:r>
    </w:p>
  </w:endnote>
  <w:endnote w:type="continuationSeparator" w:id="0">
    <w:p w14:paraId="3EB220EC" w14:textId="77777777" w:rsidR="00B7201A" w:rsidRDefault="00B7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1AF0" w14:textId="77777777" w:rsidR="00B7201A" w:rsidRDefault="00B7201A">
      <w:r>
        <w:separator/>
      </w:r>
    </w:p>
  </w:footnote>
  <w:footnote w:type="continuationSeparator" w:id="0">
    <w:p w14:paraId="269D67F8" w14:textId="77777777" w:rsidR="00B7201A" w:rsidRDefault="00B7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F53"/>
    <w:multiLevelType w:val="multilevel"/>
    <w:tmpl w:val="445497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2"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4"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5"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7"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9"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F5B348B"/>
    <w:multiLevelType w:val="multilevel"/>
    <w:tmpl w:val="FE800252"/>
    <w:lvl w:ilvl="0">
      <w:start w:val="1"/>
      <w:numFmt w:val="bullet"/>
      <w:lvlText w:val=""/>
      <w:lvlJc w:val="left"/>
      <w:pPr>
        <w:ind w:left="720" w:hanging="360"/>
      </w:pPr>
      <w:rPr>
        <w:rFonts w:ascii="Symbol" w:hAnsi="Symbol"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num w:numId="1" w16cid:durableId="2137292385">
    <w:abstractNumId w:val="4"/>
  </w:num>
  <w:num w:numId="2" w16cid:durableId="1849371849">
    <w:abstractNumId w:val="8"/>
  </w:num>
  <w:num w:numId="3" w16cid:durableId="1270046995">
    <w:abstractNumId w:val="6"/>
  </w:num>
  <w:num w:numId="4" w16cid:durableId="1577865040">
    <w:abstractNumId w:val="12"/>
  </w:num>
  <w:num w:numId="5" w16cid:durableId="276762948">
    <w:abstractNumId w:val="1"/>
  </w:num>
  <w:num w:numId="6" w16cid:durableId="1221867006">
    <w:abstractNumId w:val="10"/>
  </w:num>
  <w:num w:numId="7" w16cid:durableId="853806027">
    <w:abstractNumId w:val="2"/>
  </w:num>
  <w:num w:numId="8" w16cid:durableId="1234581049">
    <w:abstractNumId w:val="5"/>
  </w:num>
  <w:num w:numId="9" w16cid:durableId="510416833">
    <w:abstractNumId w:val="7"/>
  </w:num>
  <w:num w:numId="10" w16cid:durableId="1474717146">
    <w:abstractNumId w:val="3"/>
  </w:num>
  <w:num w:numId="11" w16cid:durableId="515310786">
    <w:abstractNumId w:val="9"/>
  </w:num>
  <w:num w:numId="12" w16cid:durableId="867568972">
    <w:abstractNumId w:val="0"/>
  </w:num>
  <w:num w:numId="13" w16cid:durableId="1388988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F7EED"/>
    <w:rsid w:val="001058F2"/>
    <w:rsid w:val="00153ACF"/>
    <w:rsid w:val="001944D2"/>
    <w:rsid w:val="00330CBD"/>
    <w:rsid w:val="004372B6"/>
    <w:rsid w:val="0045476C"/>
    <w:rsid w:val="004D48F6"/>
    <w:rsid w:val="005C0223"/>
    <w:rsid w:val="005C6178"/>
    <w:rsid w:val="005F35D2"/>
    <w:rsid w:val="0060786A"/>
    <w:rsid w:val="00661C89"/>
    <w:rsid w:val="0068638B"/>
    <w:rsid w:val="006F1DDA"/>
    <w:rsid w:val="00776632"/>
    <w:rsid w:val="007D51B1"/>
    <w:rsid w:val="007F62F9"/>
    <w:rsid w:val="007F740E"/>
    <w:rsid w:val="008821B9"/>
    <w:rsid w:val="009D4A3A"/>
    <w:rsid w:val="009E18C1"/>
    <w:rsid w:val="009E3407"/>
    <w:rsid w:val="009F4153"/>
    <w:rsid w:val="00A079AF"/>
    <w:rsid w:val="00A30FAF"/>
    <w:rsid w:val="00A51952"/>
    <w:rsid w:val="00B7201A"/>
    <w:rsid w:val="00C77403"/>
    <w:rsid w:val="00CB3DA8"/>
    <w:rsid w:val="00F26A05"/>
    <w:rsid w:val="00F941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4</cp:revision>
  <dcterms:created xsi:type="dcterms:W3CDTF">2023-03-16T16:45:00Z</dcterms:created>
  <dcterms:modified xsi:type="dcterms:W3CDTF">2023-03-16T16:49:00Z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