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7B05" w14:textId="77777777" w:rsidR="00C77403" w:rsidRPr="006D21DB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6D21DB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4F8851DF" w14:textId="77777777" w:rsidR="00C77403" w:rsidRPr="006D21DB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</w:p>
    <w:p w14:paraId="3BB9B6F2" w14:textId="77777777" w:rsidR="00C77403" w:rsidRPr="006D21DB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6D21DB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5EAC4112" w14:textId="77777777" w:rsidR="00C77403" w:rsidRPr="006D21DB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thick"/>
          <w:lang w:bidi="es-ES"/>
        </w:rPr>
      </w:pPr>
    </w:p>
    <w:p w14:paraId="74766CC3" w14:textId="39219D82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6D21DB">
        <w:rPr>
          <w:rFonts w:ascii="Arial" w:hAnsi="Arial" w:cs="Arial"/>
          <w:sz w:val="20"/>
          <w:szCs w:val="20"/>
        </w:rPr>
        <w:t xml:space="preserve">El </w:t>
      </w:r>
      <w:r w:rsidR="008821B9" w:rsidRPr="006D21DB">
        <w:rPr>
          <w:rFonts w:ascii="Arial" w:hAnsi="Arial" w:cs="Arial"/>
          <w:sz w:val="20"/>
          <w:szCs w:val="20"/>
        </w:rPr>
        <w:t>18</w:t>
      </w:r>
      <w:r w:rsidRPr="006D21DB">
        <w:rPr>
          <w:rFonts w:ascii="Arial" w:hAnsi="Arial" w:cs="Arial"/>
          <w:sz w:val="20"/>
          <w:szCs w:val="20"/>
        </w:rPr>
        <w:t xml:space="preserve"> de </w:t>
      </w:r>
      <w:r w:rsidR="008821B9" w:rsidRPr="006D21DB">
        <w:rPr>
          <w:rFonts w:ascii="Arial" w:hAnsi="Arial" w:cs="Arial"/>
          <w:sz w:val="20"/>
          <w:szCs w:val="20"/>
        </w:rPr>
        <w:t xml:space="preserve">mayo </w:t>
      </w:r>
      <w:r w:rsidRPr="006D21DB">
        <w:rPr>
          <w:rFonts w:ascii="Arial" w:hAnsi="Arial" w:cs="Arial"/>
          <w:sz w:val="20"/>
          <w:szCs w:val="20"/>
        </w:rPr>
        <w:t>del 20</w:t>
      </w:r>
      <w:r w:rsidR="008821B9" w:rsidRPr="006D21DB">
        <w:rPr>
          <w:rFonts w:ascii="Arial" w:hAnsi="Arial" w:cs="Arial"/>
          <w:sz w:val="20"/>
          <w:szCs w:val="20"/>
        </w:rPr>
        <w:t>22</w:t>
      </w:r>
      <w:r w:rsidRPr="006D21DB">
        <w:rPr>
          <w:rFonts w:ascii="Arial" w:hAnsi="Arial" w:cs="Arial"/>
          <w:sz w:val="20"/>
          <w:szCs w:val="20"/>
        </w:rPr>
        <w:t xml:space="preserve"> el Gobierno de la República del Perú firmó el contrato de préstamo BIRF </w:t>
      </w:r>
      <w:r w:rsidR="008821B9" w:rsidRPr="006D21DB">
        <w:rPr>
          <w:rFonts w:ascii="Arial" w:hAnsi="Arial" w:cs="Arial"/>
          <w:sz w:val="20"/>
          <w:szCs w:val="20"/>
        </w:rPr>
        <w:t>9334</w:t>
      </w:r>
      <w:r w:rsidRPr="006D21DB">
        <w:rPr>
          <w:rFonts w:ascii="Arial" w:hAnsi="Arial" w:cs="Arial"/>
          <w:sz w:val="20"/>
          <w:szCs w:val="20"/>
        </w:rPr>
        <w:t xml:space="preserve">-PE con el Banco Internacional de Reconstrucción y Fomento (BIRF) para la ejecución del Proyecto </w:t>
      </w:r>
      <w:r w:rsidR="008821B9" w:rsidRPr="006D21DB">
        <w:rPr>
          <w:rFonts w:ascii="Arial" w:hAnsi="Arial" w:cs="Arial"/>
          <w:sz w:val="20"/>
          <w:szCs w:val="20"/>
        </w:rPr>
        <w:t>“</w:t>
      </w:r>
      <w:r w:rsidR="008821B9" w:rsidRPr="006D21DB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6D21DB">
        <w:rPr>
          <w:rFonts w:ascii="Arial" w:hAnsi="Arial" w:cs="Arial"/>
          <w:sz w:val="20"/>
          <w:szCs w:val="20"/>
        </w:rPr>
        <w:t xml:space="preserve"> y se propone utilizar una parte de los fondos para contratar el servicio de</w:t>
      </w:r>
      <w:r w:rsidR="008821B9" w:rsidRPr="006D21DB">
        <w:rPr>
          <w:rFonts w:ascii="Arial" w:hAnsi="Arial" w:cs="Arial"/>
          <w:sz w:val="20"/>
          <w:szCs w:val="20"/>
        </w:rPr>
        <w:t xml:space="preserve"> consultoría: </w:t>
      </w:r>
      <w:r w:rsidR="006D21DB" w:rsidRPr="006D21DB">
        <w:rPr>
          <w:rFonts w:ascii="Arial" w:hAnsi="Arial" w:cs="Arial"/>
          <w:sz w:val="20"/>
          <w:szCs w:val="20"/>
        </w:rPr>
        <w:t xml:space="preserve">Analista Social y de Genero </w:t>
      </w:r>
      <w:r w:rsidR="008821B9" w:rsidRPr="006D21DB">
        <w:rPr>
          <w:rFonts w:ascii="Arial" w:hAnsi="Arial" w:cs="Arial"/>
          <w:sz w:val="20"/>
          <w:szCs w:val="20"/>
        </w:rPr>
        <w:t xml:space="preserve">para el Proyecto, </w:t>
      </w:r>
      <w:r w:rsidRPr="006D21DB">
        <w:rPr>
          <w:rFonts w:ascii="Arial" w:hAnsi="Arial" w:cs="Arial"/>
          <w:sz w:val="20"/>
          <w:szCs w:val="20"/>
        </w:rPr>
        <w:t>que debe cumplir el siguiente</w:t>
      </w:r>
      <w:r w:rsidR="009F4153" w:rsidRPr="006D21DB">
        <w:rPr>
          <w:rFonts w:ascii="Arial" w:hAnsi="Arial" w:cs="Arial"/>
          <w:sz w:val="20"/>
          <w:szCs w:val="20"/>
        </w:rPr>
        <w:t xml:space="preserve"> </w:t>
      </w:r>
      <w:r w:rsidRPr="006D21DB">
        <w:rPr>
          <w:rFonts w:ascii="Arial" w:hAnsi="Arial" w:cs="Arial"/>
          <w:sz w:val="20"/>
          <w:szCs w:val="20"/>
        </w:rPr>
        <w:t>perfil mínimo:</w:t>
      </w:r>
    </w:p>
    <w:p w14:paraId="7E377976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313B9130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6D21DB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2B2941C9" w14:textId="77777777" w:rsidR="006D21DB" w:rsidRPr="006D21DB" w:rsidRDefault="006D21DB" w:rsidP="006D21DB">
      <w:pPr>
        <w:pStyle w:val="Textoindependiente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6D21DB">
        <w:rPr>
          <w:rFonts w:ascii="Arial" w:hAnsi="Arial" w:cs="Arial"/>
          <w:color w:val="000000"/>
          <w:sz w:val="20"/>
          <w:szCs w:val="20"/>
          <w:lang w:val="es-PE"/>
        </w:rPr>
        <w:t>Grado mínimo de Bachiller en Ciencias Sociales, Ciencias Políticas, Humanidades, Antropología, Sociología, Psicología y/o afines.</w:t>
      </w:r>
    </w:p>
    <w:p w14:paraId="68CD76EA" w14:textId="77777777" w:rsidR="006D21DB" w:rsidRPr="006D21DB" w:rsidRDefault="006D21DB" w:rsidP="006D21DB">
      <w:pPr>
        <w:pStyle w:val="Textoindependiente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6D21DB">
        <w:rPr>
          <w:rFonts w:ascii="Arial" w:hAnsi="Arial" w:cs="Arial"/>
          <w:color w:val="000000"/>
          <w:sz w:val="20"/>
          <w:szCs w:val="20"/>
          <w:lang w:val="es-PE"/>
        </w:rPr>
        <w:t>Deseable con especialización en temas relacionados a género (Transversalización del enfoque, aplicación en proyectos, programas y políticas, entre otros); especialización en prevención y resolución de conflictos y gestión social o afines.</w:t>
      </w:r>
    </w:p>
    <w:p w14:paraId="0465E006" w14:textId="2D57CB82" w:rsidR="003B7CF9" w:rsidRPr="006D21DB" w:rsidRDefault="006D21DB" w:rsidP="006D21DB">
      <w:pPr>
        <w:pStyle w:val="Textoindependiente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6D21DB">
        <w:rPr>
          <w:rFonts w:ascii="Arial" w:hAnsi="Arial" w:cs="Arial"/>
          <w:color w:val="000000"/>
          <w:sz w:val="20"/>
          <w:szCs w:val="20"/>
          <w:lang w:val="es-PE"/>
        </w:rPr>
        <w:t>Deseable conocimiento de los Estándares Ambientales y Sociales (EAS) del Banco Mundial.</w:t>
      </w:r>
    </w:p>
    <w:p w14:paraId="3E55670B" w14:textId="77777777" w:rsidR="000F7EED" w:rsidRPr="006D21DB" w:rsidRDefault="000F7EED" w:rsidP="000F7EED">
      <w:pPr>
        <w:pStyle w:val="Textoindependiente"/>
        <w:ind w:left="426"/>
        <w:jc w:val="both"/>
        <w:rPr>
          <w:rFonts w:ascii="Arial" w:hAnsi="Arial" w:cs="Arial"/>
          <w:sz w:val="20"/>
          <w:szCs w:val="20"/>
        </w:rPr>
      </w:pPr>
    </w:p>
    <w:p w14:paraId="2682F6BF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6D21DB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76677310" w14:textId="77777777" w:rsidR="006D21DB" w:rsidRPr="006D21DB" w:rsidRDefault="006D21DB" w:rsidP="006D21DB">
      <w:pPr>
        <w:pStyle w:val="Textoindependiente"/>
        <w:numPr>
          <w:ilvl w:val="0"/>
          <w:numId w:val="15"/>
        </w:numPr>
        <w:jc w:val="both"/>
        <w:textDirection w:val="btLr"/>
        <w:rPr>
          <w:rFonts w:ascii="Arial" w:hAnsi="Arial" w:cs="Arial"/>
          <w:color w:val="000000"/>
          <w:sz w:val="20"/>
          <w:szCs w:val="20"/>
          <w:lang w:val="es-PE"/>
        </w:rPr>
      </w:pPr>
      <w:r w:rsidRPr="006D21DB">
        <w:rPr>
          <w:rFonts w:ascii="Arial" w:hAnsi="Arial" w:cs="Arial"/>
          <w:color w:val="000000"/>
          <w:sz w:val="20"/>
          <w:szCs w:val="20"/>
          <w:lang w:val="es-PE"/>
        </w:rPr>
        <w:t>Experiencia general laboral acreditada no menor a cinco (5) años en entidades públicas y/o privadas y/u organismos internacionales de promoción y financiamiento, vinculados a su especialidad.</w:t>
      </w:r>
    </w:p>
    <w:p w14:paraId="5B011A2F" w14:textId="77777777" w:rsidR="006D21DB" w:rsidRPr="006D21DB" w:rsidRDefault="006D21DB" w:rsidP="006D21DB">
      <w:pPr>
        <w:pStyle w:val="Textoindependiente"/>
        <w:numPr>
          <w:ilvl w:val="0"/>
          <w:numId w:val="15"/>
        </w:numPr>
        <w:jc w:val="both"/>
        <w:textDirection w:val="btLr"/>
        <w:rPr>
          <w:rFonts w:ascii="Arial" w:hAnsi="Arial" w:cs="Arial"/>
          <w:color w:val="000000"/>
          <w:sz w:val="20"/>
          <w:szCs w:val="20"/>
          <w:lang w:val="es-PE"/>
        </w:rPr>
      </w:pPr>
      <w:r w:rsidRPr="006D21DB">
        <w:rPr>
          <w:rFonts w:ascii="Arial" w:hAnsi="Arial" w:cs="Arial"/>
          <w:color w:val="000000"/>
          <w:sz w:val="20"/>
          <w:szCs w:val="20"/>
          <w:lang w:val="es-PE"/>
        </w:rPr>
        <w:t>Experiencia específica mínima de tres (3) años en gestión social, responsabilidad social, seguridad y medio ambiente, prevención y resolución de conflictos en entidades públicas, privadas y/u organismos internacionales y/o programas o proyectos cofinanciados por fuentes de cooperación internacional.</w:t>
      </w:r>
    </w:p>
    <w:p w14:paraId="42322C2F" w14:textId="576F6054" w:rsidR="003B7CF9" w:rsidRPr="006D21DB" w:rsidRDefault="006D21DB" w:rsidP="006D21DB">
      <w:pPr>
        <w:pStyle w:val="Textoindependiente"/>
        <w:numPr>
          <w:ilvl w:val="0"/>
          <w:numId w:val="15"/>
        </w:numPr>
        <w:jc w:val="both"/>
        <w:textDirection w:val="btLr"/>
        <w:rPr>
          <w:rFonts w:ascii="Arial" w:hAnsi="Arial" w:cs="Arial"/>
          <w:color w:val="000000"/>
          <w:sz w:val="20"/>
          <w:szCs w:val="20"/>
          <w:lang w:val="es-PE"/>
        </w:rPr>
      </w:pPr>
      <w:r w:rsidRPr="006D21DB">
        <w:rPr>
          <w:rFonts w:ascii="Arial" w:hAnsi="Arial" w:cs="Arial"/>
          <w:color w:val="000000"/>
          <w:sz w:val="20"/>
          <w:szCs w:val="20"/>
          <w:lang w:val="es-PE"/>
        </w:rPr>
        <w:t>Experiencia específica mínima de un (1) año en igualdad de género experiencia demostrada desarrollando e implementando diagnósticos, evaluaciones, planes de acción, herramientas y capacitaciones relacionados a equidad de género e inclusión social en entidades públicas, privadas y/u organismos internacionales y/o programas o proyectos cofinanciados por fuentes de cooperación internacional.</w:t>
      </w:r>
    </w:p>
    <w:p w14:paraId="16430C9E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547C9FD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6D21DB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4E1CB86A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3EDB9B9E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6D21DB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09EDBF76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00D6DB27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6D21DB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4DA20D02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5CD9D526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6D21DB">
        <w:rPr>
          <w:rFonts w:ascii="Arial" w:hAnsi="Arial" w:cs="Arial"/>
          <w:bCs/>
          <w:sz w:val="20"/>
          <w:szCs w:val="20"/>
        </w:rPr>
        <w:t>El contratante se reserva el derecho de verificar los datos indicados en la hoja de vida.</w:t>
      </w:r>
    </w:p>
    <w:p w14:paraId="2BD30CCA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5A9E7022" w14:textId="41CEA7A4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6D21DB">
        <w:rPr>
          <w:rFonts w:ascii="Arial" w:hAnsi="Arial" w:cs="Arial"/>
          <w:spacing w:val="-3"/>
          <w:sz w:val="20"/>
          <w:szCs w:val="20"/>
        </w:rPr>
        <w:t xml:space="preserve">Las personas </w:t>
      </w:r>
      <w:r w:rsidRPr="006D21DB">
        <w:rPr>
          <w:rFonts w:ascii="Arial" w:hAnsi="Arial" w:cs="Arial"/>
          <w:sz w:val="20"/>
          <w:szCs w:val="20"/>
        </w:rPr>
        <w:t xml:space="preserve">interesadas, </w:t>
      </w:r>
      <w:r w:rsidRPr="006D21DB">
        <w:rPr>
          <w:rFonts w:ascii="Arial" w:hAnsi="Arial" w:cs="Arial"/>
          <w:spacing w:val="-3"/>
          <w:sz w:val="20"/>
          <w:szCs w:val="20"/>
        </w:rPr>
        <w:t xml:space="preserve">deberán expresar </w:t>
      </w:r>
      <w:r w:rsidRPr="006D21DB">
        <w:rPr>
          <w:rFonts w:ascii="Arial" w:hAnsi="Arial" w:cs="Arial"/>
          <w:sz w:val="20"/>
          <w:szCs w:val="20"/>
        </w:rPr>
        <w:t xml:space="preserve">su interés </w:t>
      </w:r>
      <w:r w:rsidRPr="006D21DB">
        <w:rPr>
          <w:rFonts w:ascii="Arial" w:hAnsi="Arial" w:cs="Arial"/>
          <w:spacing w:val="-3"/>
          <w:sz w:val="20"/>
          <w:szCs w:val="20"/>
        </w:rPr>
        <w:t xml:space="preserve">mediante </w:t>
      </w:r>
      <w:r w:rsidRPr="006D21DB">
        <w:rPr>
          <w:rFonts w:ascii="Arial" w:hAnsi="Arial" w:cs="Arial"/>
          <w:sz w:val="20"/>
          <w:szCs w:val="20"/>
        </w:rPr>
        <w:t xml:space="preserve">la </w:t>
      </w:r>
      <w:r w:rsidRPr="006D21DB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6D21DB">
        <w:rPr>
          <w:rFonts w:ascii="Arial" w:hAnsi="Arial" w:cs="Arial"/>
          <w:sz w:val="20"/>
          <w:szCs w:val="20"/>
        </w:rPr>
        <w:t xml:space="preserve">de sus hojas de vida </w:t>
      </w:r>
      <w:r w:rsidRPr="006D21DB">
        <w:rPr>
          <w:rFonts w:ascii="Arial" w:hAnsi="Arial" w:cs="Arial"/>
          <w:spacing w:val="-3"/>
          <w:sz w:val="20"/>
          <w:szCs w:val="20"/>
        </w:rPr>
        <w:t>actualizada</w:t>
      </w:r>
      <w:r w:rsidRPr="006D21DB">
        <w:rPr>
          <w:rFonts w:ascii="Arial" w:hAnsi="Arial" w:cs="Arial"/>
          <w:sz w:val="20"/>
          <w:szCs w:val="20"/>
        </w:rPr>
        <w:t xml:space="preserve">, sin documentar, a la dirección de correo electrónico indicada línea abajo, hasta las 23:59 horas del </w:t>
      </w:r>
      <w:r w:rsidR="009D6D34" w:rsidRPr="006D21DB">
        <w:rPr>
          <w:rFonts w:ascii="Arial" w:hAnsi="Arial" w:cs="Arial"/>
          <w:b/>
          <w:sz w:val="20"/>
          <w:szCs w:val="20"/>
        </w:rPr>
        <w:t>domingo</w:t>
      </w:r>
      <w:r w:rsidR="008821B9" w:rsidRPr="006D21DB">
        <w:rPr>
          <w:rFonts w:ascii="Arial" w:hAnsi="Arial" w:cs="Arial"/>
          <w:b/>
          <w:sz w:val="20"/>
          <w:szCs w:val="20"/>
        </w:rPr>
        <w:t xml:space="preserve"> 1</w:t>
      </w:r>
      <w:r w:rsidR="009D6D34" w:rsidRPr="006D21DB">
        <w:rPr>
          <w:rFonts w:ascii="Arial" w:hAnsi="Arial" w:cs="Arial"/>
          <w:b/>
          <w:sz w:val="20"/>
          <w:szCs w:val="20"/>
        </w:rPr>
        <w:t>6</w:t>
      </w:r>
      <w:r w:rsidR="008821B9" w:rsidRPr="006D21DB">
        <w:rPr>
          <w:rFonts w:ascii="Arial" w:hAnsi="Arial" w:cs="Arial"/>
          <w:b/>
          <w:sz w:val="20"/>
          <w:szCs w:val="20"/>
        </w:rPr>
        <w:t xml:space="preserve"> de a</w:t>
      </w:r>
      <w:r w:rsidR="009D6D34" w:rsidRPr="006D21DB">
        <w:rPr>
          <w:rFonts w:ascii="Arial" w:hAnsi="Arial" w:cs="Arial"/>
          <w:b/>
          <w:sz w:val="20"/>
          <w:szCs w:val="20"/>
        </w:rPr>
        <w:t>bril</w:t>
      </w:r>
      <w:r w:rsidR="008821B9" w:rsidRPr="006D21DB">
        <w:rPr>
          <w:rFonts w:ascii="Arial" w:hAnsi="Arial" w:cs="Arial"/>
          <w:b/>
          <w:sz w:val="20"/>
          <w:szCs w:val="20"/>
        </w:rPr>
        <w:t xml:space="preserve"> de 2023</w:t>
      </w:r>
      <w:r w:rsidRPr="006D21DB">
        <w:rPr>
          <w:rFonts w:ascii="Arial" w:hAnsi="Arial" w:cs="Arial"/>
          <w:sz w:val="20"/>
          <w:szCs w:val="20"/>
        </w:rPr>
        <w:t>.</w:t>
      </w:r>
    </w:p>
    <w:p w14:paraId="0B409E86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490E29CF" w14:textId="75F7FB87" w:rsidR="00C77403" w:rsidRPr="006D21DB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6D21DB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6D21DB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 w:rsidR="006D21DB" w:rsidRPr="006D21DB">
        <w:rPr>
          <w:rFonts w:ascii="Arial" w:hAnsi="Arial" w:cs="Arial"/>
          <w:b/>
          <w:bCs/>
          <w:sz w:val="20"/>
          <w:szCs w:val="20"/>
          <w:u w:val="single"/>
          <w:lang w:bidi="es-ES"/>
        </w:rPr>
        <w:t>ANALISTA SOCIAL GENERO</w:t>
      </w:r>
    </w:p>
    <w:p w14:paraId="3F66CDB4" w14:textId="29E84EA3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6D21DB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="008821B9" w:rsidRPr="006D21DB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6D21DB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65EE549F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</w:p>
    <w:p w14:paraId="033136A0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6D21DB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120949F5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966E778" w14:textId="2C6CAE86" w:rsidR="00C77403" w:rsidRPr="006D21DB" w:rsidRDefault="00C77403" w:rsidP="008821B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6D21DB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</w:t>
      </w:r>
      <w:r w:rsidRPr="006D21DB">
        <w:rPr>
          <w:rFonts w:ascii="Arial" w:hAnsi="Arial" w:cs="Arial"/>
          <w:sz w:val="20"/>
          <w:szCs w:val="20"/>
          <w:lang w:bidi="es-ES"/>
        </w:rPr>
        <w:lastRenderedPageBreak/>
        <w:t xml:space="preserve">procedimientos indicados en las </w:t>
      </w:r>
      <w:r w:rsidR="008821B9" w:rsidRPr="006D21DB">
        <w:rPr>
          <w:rFonts w:ascii="Arial" w:hAnsi="Arial" w:cs="Arial"/>
          <w:sz w:val="20"/>
          <w:szCs w:val="20"/>
          <w:lang w:bidi="es-ES"/>
        </w:rPr>
        <w:t>Regulaciones de Adquisiciones para Prestatarios en Proyectos de Inversión del Banco Mundial de Noviembre 2020</w:t>
      </w:r>
      <w:r w:rsidRPr="006D21DB">
        <w:rPr>
          <w:rFonts w:ascii="Arial" w:hAnsi="Arial" w:cs="Arial"/>
          <w:sz w:val="20"/>
          <w:szCs w:val="20"/>
          <w:lang w:bidi="es-ES"/>
        </w:rPr>
        <w:t>.</w:t>
      </w:r>
    </w:p>
    <w:p w14:paraId="4BCA9832" w14:textId="77777777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363D9972" w14:textId="6E63AA0A" w:rsidR="00C77403" w:rsidRPr="006D21DB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6D21DB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</w:t>
      </w:r>
      <w:r w:rsidR="008821B9" w:rsidRPr="006D21DB">
        <w:rPr>
          <w:rFonts w:ascii="Arial" w:hAnsi="Arial" w:cs="Arial"/>
          <w:sz w:val="20"/>
          <w:szCs w:val="20"/>
        </w:rPr>
        <w:t xml:space="preserve">numeral </w:t>
      </w:r>
      <w:r w:rsidR="00F94155" w:rsidRPr="006D21DB">
        <w:rPr>
          <w:rFonts w:ascii="Arial" w:hAnsi="Arial" w:cs="Arial"/>
          <w:sz w:val="20"/>
          <w:szCs w:val="20"/>
        </w:rPr>
        <w:t>3.14 al 3.17</w:t>
      </w:r>
      <w:r w:rsidRPr="006D21DB">
        <w:rPr>
          <w:rFonts w:ascii="Arial" w:hAnsi="Arial" w:cs="Arial"/>
          <w:sz w:val="20"/>
          <w:szCs w:val="20"/>
        </w:rPr>
        <w:t xml:space="preserve"> de </w:t>
      </w:r>
      <w:r w:rsidR="008821B9" w:rsidRPr="006D21DB">
        <w:rPr>
          <w:rFonts w:ascii="Arial" w:hAnsi="Arial" w:cs="Arial"/>
          <w:sz w:val="20"/>
          <w:szCs w:val="20"/>
          <w:lang w:bidi="es-ES"/>
        </w:rPr>
        <w:t>las Regulaciones de Adquisiciones para Prestatarios en Proyectos de Inversión del Banco Mundial de Noviembre 2020</w:t>
      </w:r>
      <w:r w:rsidRPr="006D21DB">
        <w:rPr>
          <w:rFonts w:ascii="Arial" w:hAnsi="Arial" w:cs="Arial"/>
          <w:sz w:val="20"/>
          <w:szCs w:val="20"/>
        </w:rPr>
        <w:t>.</w:t>
      </w:r>
    </w:p>
    <w:p w14:paraId="3DEF41A7" w14:textId="77777777" w:rsidR="00F94155" w:rsidRPr="006D21DB" w:rsidRDefault="00F94155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07F33C1" w14:textId="7181788C" w:rsidR="00F94155" w:rsidRPr="00F94155" w:rsidRDefault="00000000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F94155" w:rsidRPr="001F1CD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F94155">
        <w:rPr>
          <w:rFonts w:ascii="Arial" w:hAnsi="Arial" w:cs="Arial"/>
          <w:sz w:val="20"/>
          <w:szCs w:val="20"/>
        </w:rPr>
        <w:t xml:space="preserve"> </w:t>
      </w:r>
    </w:p>
    <w:p w14:paraId="095426E2" w14:textId="5EA6D328" w:rsidR="00C77403" w:rsidRPr="00F94155" w:rsidRDefault="00C77403" w:rsidP="00661C89">
      <w:pPr>
        <w:pStyle w:val="Textoindependiente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 w:rsidR="00F94155"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 xml:space="preserve">, </w:t>
      </w:r>
      <w:r w:rsidR="009D6D34">
        <w:rPr>
          <w:rFonts w:ascii="Arial" w:hAnsi="Arial" w:cs="Arial"/>
          <w:sz w:val="20"/>
          <w:szCs w:val="20"/>
        </w:rPr>
        <w:t>02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9D6D34">
        <w:rPr>
          <w:rFonts w:ascii="Arial" w:hAnsi="Arial" w:cs="Arial"/>
          <w:sz w:val="20"/>
          <w:szCs w:val="20"/>
        </w:rPr>
        <w:t>abril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 w:rsidR="00F94155">
        <w:rPr>
          <w:rFonts w:ascii="Arial" w:hAnsi="Arial" w:cs="Arial"/>
          <w:sz w:val="20"/>
          <w:szCs w:val="20"/>
        </w:rPr>
        <w:t>23</w:t>
      </w:r>
    </w:p>
    <w:p w14:paraId="3D69C117" w14:textId="77777777" w:rsidR="006F1DDA" w:rsidRDefault="006F1DDA">
      <w:pPr>
        <w:pStyle w:val="Ttulo1"/>
        <w:spacing w:before="83"/>
        <w:ind w:left="135" w:right="155" w:firstLine="0"/>
        <w:jc w:val="center"/>
      </w:pPr>
    </w:p>
    <w:p w14:paraId="4BCFC1D3" w14:textId="77777777" w:rsidR="006D21DB" w:rsidRDefault="006D21DB" w:rsidP="00DB354A">
      <w:pPr>
        <w:ind w:right="3" w:hanging="2"/>
        <w:jc w:val="center"/>
        <w:rPr>
          <w:b/>
        </w:rPr>
      </w:pPr>
      <w:bookmarkStart w:id="0" w:name="_heading=h.gjdgxs" w:colFirst="0" w:colLast="0"/>
      <w:bookmarkEnd w:id="0"/>
    </w:p>
    <w:p w14:paraId="7CACBDAE" w14:textId="77777777" w:rsidR="006D21DB" w:rsidRDefault="006D21DB" w:rsidP="00DB354A">
      <w:pPr>
        <w:ind w:right="3" w:hanging="2"/>
        <w:jc w:val="center"/>
        <w:rPr>
          <w:b/>
        </w:rPr>
      </w:pPr>
    </w:p>
    <w:p w14:paraId="33C87A91" w14:textId="77777777" w:rsidR="006D21DB" w:rsidRDefault="006D21DB" w:rsidP="00DB354A">
      <w:pPr>
        <w:ind w:right="3" w:hanging="2"/>
        <w:jc w:val="center"/>
        <w:rPr>
          <w:b/>
        </w:rPr>
      </w:pPr>
    </w:p>
    <w:p w14:paraId="45EEEC7C" w14:textId="77777777" w:rsidR="006D21DB" w:rsidRDefault="006D21DB" w:rsidP="00DB354A">
      <w:pPr>
        <w:ind w:right="3" w:hanging="2"/>
        <w:jc w:val="center"/>
        <w:rPr>
          <w:b/>
        </w:rPr>
      </w:pPr>
    </w:p>
    <w:p w14:paraId="7E799263" w14:textId="77777777" w:rsidR="006D21DB" w:rsidRDefault="006D21DB" w:rsidP="00DB354A">
      <w:pPr>
        <w:ind w:right="3" w:hanging="2"/>
        <w:jc w:val="center"/>
        <w:rPr>
          <w:b/>
        </w:rPr>
      </w:pPr>
    </w:p>
    <w:p w14:paraId="1106B0D2" w14:textId="77777777" w:rsidR="006D21DB" w:rsidRDefault="006D21DB" w:rsidP="00DB354A">
      <w:pPr>
        <w:ind w:right="3" w:hanging="2"/>
        <w:jc w:val="center"/>
        <w:rPr>
          <w:b/>
        </w:rPr>
      </w:pPr>
    </w:p>
    <w:p w14:paraId="28BF093F" w14:textId="77777777" w:rsidR="006D21DB" w:rsidRDefault="006D21DB" w:rsidP="00DB354A">
      <w:pPr>
        <w:ind w:right="3" w:hanging="2"/>
        <w:jc w:val="center"/>
        <w:rPr>
          <w:b/>
        </w:rPr>
      </w:pPr>
    </w:p>
    <w:p w14:paraId="7B37B9E9" w14:textId="77777777" w:rsidR="006D21DB" w:rsidRDefault="006D21DB" w:rsidP="00DB354A">
      <w:pPr>
        <w:ind w:right="3" w:hanging="2"/>
        <w:jc w:val="center"/>
        <w:rPr>
          <w:b/>
        </w:rPr>
      </w:pPr>
    </w:p>
    <w:p w14:paraId="7F2B563B" w14:textId="77777777" w:rsidR="006D21DB" w:rsidRDefault="006D21DB" w:rsidP="00DB354A">
      <w:pPr>
        <w:ind w:right="3" w:hanging="2"/>
        <w:jc w:val="center"/>
        <w:rPr>
          <w:b/>
        </w:rPr>
      </w:pPr>
    </w:p>
    <w:p w14:paraId="3209F9F6" w14:textId="77777777" w:rsidR="006D21DB" w:rsidRDefault="006D21DB" w:rsidP="00DB354A">
      <w:pPr>
        <w:ind w:right="3" w:hanging="2"/>
        <w:jc w:val="center"/>
        <w:rPr>
          <w:b/>
        </w:rPr>
      </w:pPr>
    </w:p>
    <w:p w14:paraId="46F58D18" w14:textId="77777777" w:rsidR="006D21DB" w:rsidRDefault="006D21DB" w:rsidP="00DB354A">
      <w:pPr>
        <w:ind w:right="3" w:hanging="2"/>
        <w:jc w:val="center"/>
        <w:rPr>
          <w:b/>
        </w:rPr>
      </w:pPr>
    </w:p>
    <w:p w14:paraId="15DDA840" w14:textId="77777777" w:rsidR="006D21DB" w:rsidRDefault="006D21DB" w:rsidP="00DB354A">
      <w:pPr>
        <w:ind w:right="3" w:hanging="2"/>
        <w:jc w:val="center"/>
        <w:rPr>
          <w:b/>
        </w:rPr>
      </w:pPr>
    </w:p>
    <w:p w14:paraId="6BA18078" w14:textId="77777777" w:rsidR="006D21DB" w:rsidRDefault="006D21DB" w:rsidP="00DB354A">
      <w:pPr>
        <w:ind w:right="3" w:hanging="2"/>
        <w:jc w:val="center"/>
        <w:rPr>
          <w:b/>
        </w:rPr>
      </w:pPr>
    </w:p>
    <w:p w14:paraId="4A91E327" w14:textId="77777777" w:rsidR="006D21DB" w:rsidRDefault="006D21DB" w:rsidP="00DB354A">
      <w:pPr>
        <w:ind w:right="3" w:hanging="2"/>
        <w:jc w:val="center"/>
        <w:rPr>
          <w:b/>
        </w:rPr>
      </w:pPr>
    </w:p>
    <w:p w14:paraId="53B3F6ED" w14:textId="77777777" w:rsidR="006D21DB" w:rsidRDefault="006D21DB" w:rsidP="00DB354A">
      <w:pPr>
        <w:ind w:right="3" w:hanging="2"/>
        <w:jc w:val="center"/>
        <w:rPr>
          <w:b/>
        </w:rPr>
      </w:pPr>
    </w:p>
    <w:p w14:paraId="49AE4A05" w14:textId="77777777" w:rsidR="006D21DB" w:rsidRDefault="006D21DB" w:rsidP="00DB354A">
      <w:pPr>
        <w:ind w:right="3" w:hanging="2"/>
        <w:jc w:val="center"/>
        <w:rPr>
          <w:b/>
        </w:rPr>
      </w:pPr>
    </w:p>
    <w:p w14:paraId="331DECFC" w14:textId="77777777" w:rsidR="006D21DB" w:rsidRDefault="006D21DB" w:rsidP="00DB354A">
      <w:pPr>
        <w:ind w:right="3" w:hanging="2"/>
        <w:jc w:val="center"/>
        <w:rPr>
          <w:b/>
        </w:rPr>
      </w:pPr>
    </w:p>
    <w:p w14:paraId="4C70292E" w14:textId="77777777" w:rsidR="006D21DB" w:rsidRDefault="006D21DB" w:rsidP="00DB354A">
      <w:pPr>
        <w:ind w:right="3" w:hanging="2"/>
        <w:jc w:val="center"/>
        <w:rPr>
          <w:b/>
        </w:rPr>
      </w:pPr>
    </w:p>
    <w:p w14:paraId="4B2FEEDD" w14:textId="77777777" w:rsidR="006D21DB" w:rsidRDefault="006D21DB" w:rsidP="00DB354A">
      <w:pPr>
        <w:ind w:right="3" w:hanging="2"/>
        <w:jc w:val="center"/>
        <w:rPr>
          <w:b/>
        </w:rPr>
      </w:pPr>
    </w:p>
    <w:p w14:paraId="4E030FBB" w14:textId="77777777" w:rsidR="006D21DB" w:rsidRDefault="006D21DB" w:rsidP="00DB354A">
      <w:pPr>
        <w:ind w:right="3" w:hanging="2"/>
        <w:jc w:val="center"/>
        <w:rPr>
          <w:b/>
        </w:rPr>
      </w:pPr>
    </w:p>
    <w:p w14:paraId="402989FC" w14:textId="77777777" w:rsidR="006D21DB" w:rsidRDefault="006D21DB" w:rsidP="00DB354A">
      <w:pPr>
        <w:ind w:right="3" w:hanging="2"/>
        <w:jc w:val="center"/>
        <w:rPr>
          <w:b/>
        </w:rPr>
      </w:pPr>
    </w:p>
    <w:p w14:paraId="43CA47E7" w14:textId="77777777" w:rsidR="006D21DB" w:rsidRDefault="006D21DB" w:rsidP="00DB354A">
      <w:pPr>
        <w:ind w:right="3" w:hanging="2"/>
        <w:jc w:val="center"/>
        <w:rPr>
          <w:b/>
        </w:rPr>
      </w:pPr>
    </w:p>
    <w:p w14:paraId="0E12D7E3" w14:textId="77777777" w:rsidR="006D21DB" w:rsidRDefault="006D21DB" w:rsidP="00DB354A">
      <w:pPr>
        <w:ind w:right="3" w:hanging="2"/>
        <w:jc w:val="center"/>
        <w:rPr>
          <w:b/>
        </w:rPr>
      </w:pPr>
    </w:p>
    <w:p w14:paraId="4AF2C10A" w14:textId="77777777" w:rsidR="006D21DB" w:rsidRDefault="006D21DB" w:rsidP="00DB354A">
      <w:pPr>
        <w:ind w:right="3" w:hanging="2"/>
        <w:jc w:val="center"/>
        <w:rPr>
          <w:b/>
        </w:rPr>
      </w:pPr>
    </w:p>
    <w:p w14:paraId="200F383A" w14:textId="77777777" w:rsidR="006D21DB" w:rsidRDefault="006D21DB" w:rsidP="00DB354A">
      <w:pPr>
        <w:ind w:right="3" w:hanging="2"/>
        <w:jc w:val="center"/>
        <w:rPr>
          <w:b/>
        </w:rPr>
      </w:pPr>
    </w:p>
    <w:p w14:paraId="51B9199F" w14:textId="77777777" w:rsidR="006D21DB" w:rsidRDefault="006D21DB" w:rsidP="00DB354A">
      <w:pPr>
        <w:ind w:right="3" w:hanging="2"/>
        <w:jc w:val="center"/>
        <w:rPr>
          <w:b/>
        </w:rPr>
      </w:pPr>
    </w:p>
    <w:p w14:paraId="63BD41CC" w14:textId="77777777" w:rsidR="006D21DB" w:rsidRDefault="006D21DB" w:rsidP="00DB354A">
      <w:pPr>
        <w:ind w:right="3" w:hanging="2"/>
        <w:jc w:val="center"/>
        <w:rPr>
          <w:b/>
        </w:rPr>
      </w:pPr>
    </w:p>
    <w:p w14:paraId="760EC5AF" w14:textId="77777777" w:rsidR="006D21DB" w:rsidRDefault="006D21DB" w:rsidP="00DB354A">
      <w:pPr>
        <w:ind w:right="3" w:hanging="2"/>
        <w:jc w:val="center"/>
        <w:rPr>
          <w:b/>
        </w:rPr>
      </w:pPr>
    </w:p>
    <w:p w14:paraId="5E0F8FDE" w14:textId="77777777" w:rsidR="006D21DB" w:rsidRDefault="006D21DB" w:rsidP="00DB354A">
      <w:pPr>
        <w:ind w:right="3" w:hanging="2"/>
        <w:jc w:val="center"/>
        <w:rPr>
          <w:b/>
        </w:rPr>
      </w:pPr>
    </w:p>
    <w:p w14:paraId="5D0A43F7" w14:textId="77777777" w:rsidR="006D21DB" w:rsidRDefault="006D21DB" w:rsidP="00DB354A">
      <w:pPr>
        <w:ind w:right="3" w:hanging="2"/>
        <w:jc w:val="center"/>
        <w:rPr>
          <w:b/>
        </w:rPr>
      </w:pPr>
    </w:p>
    <w:p w14:paraId="0422CDB8" w14:textId="77777777" w:rsidR="006D21DB" w:rsidRDefault="006D21DB" w:rsidP="00DB354A">
      <w:pPr>
        <w:ind w:right="3" w:hanging="2"/>
        <w:jc w:val="center"/>
        <w:rPr>
          <w:b/>
        </w:rPr>
      </w:pPr>
    </w:p>
    <w:p w14:paraId="566E8299" w14:textId="77777777" w:rsidR="006D21DB" w:rsidRDefault="006D21DB" w:rsidP="00DB354A">
      <w:pPr>
        <w:ind w:right="3" w:hanging="2"/>
        <w:jc w:val="center"/>
        <w:rPr>
          <w:b/>
        </w:rPr>
      </w:pPr>
    </w:p>
    <w:p w14:paraId="39D701B7" w14:textId="77777777" w:rsidR="006D21DB" w:rsidRDefault="006D21DB" w:rsidP="00DB354A">
      <w:pPr>
        <w:ind w:right="3" w:hanging="2"/>
        <w:jc w:val="center"/>
        <w:rPr>
          <w:b/>
        </w:rPr>
      </w:pPr>
    </w:p>
    <w:p w14:paraId="5532EEE9" w14:textId="77777777" w:rsidR="006D21DB" w:rsidRDefault="006D21DB" w:rsidP="00DB354A">
      <w:pPr>
        <w:ind w:right="3" w:hanging="2"/>
        <w:jc w:val="center"/>
        <w:rPr>
          <w:b/>
        </w:rPr>
      </w:pPr>
    </w:p>
    <w:p w14:paraId="26D68F98" w14:textId="77777777" w:rsidR="006D21DB" w:rsidRDefault="006D21DB" w:rsidP="00DB354A">
      <w:pPr>
        <w:ind w:right="3" w:hanging="2"/>
        <w:jc w:val="center"/>
        <w:rPr>
          <w:b/>
        </w:rPr>
      </w:pPr>
    </w:p>
    <w:p w14:paraId="56F2E080" w14:textId="77777777" w:rsidR="006D21DB" w:rsidRDefault="006D21DB" w:rsidP="00DB354A">
      <w:pPr>
        <w:ind w:right="3" w:hanging="2"/>
        <w:jc w:val="center"/>
        <w:rPr>
          <w:b/>
        </w:rPr>
      </w:pPr>
    </w:p>
    <w:p w14:paraId="6D88460C" w14:textId="77777777" w:rsidR="006D21DB" w:rsidRDefault="006D21DB" w:rsidP="00DB354A">
      <w:pPr>
        <w:ind w:right="3" w:hanging="2"/>
        <w:jc w:val="center"/>
        <w:rPr>
          <w:b/>
        </w:rPr>
      </w:pPr>
    </w:p>
    <w:p w14:paraId="75CE0B32" w14:textId="77777777" w:rsidR="006D21DB" w:rsidRDefault="006D21DB" w:rsidP="00DB354A">
      <w:pPr>
        <w:ind w:right="3" w:hanging="2"/>
        <w:jc w:val="center"/>
        <w:rPr>
          <w:b/>
        </w:rPr>
      </w:pPr>
    </w:p>
    <w:p w14:paraId="4E8AEC71" w14:textId="77777777" w:rsidR="006D21DB" w:rsidRDefault="006D21DB" w:rsidP="00DB354A">
      <w:pPr>
        <w:ind w:right="3" w:hanging="2"/>
        <w:jc w:val="center"/>
        <w:rPr>
          <w:b/>
        </w:rPr>
      </w:pPr>
    </w:p>
    <w:p w14:paraId="3369C930" w14:textId="77777777" w:rsidR="006D21DB" w:rsidRDefault="006D21DB" w:rsidP="00DB354A">
      <w:pPr>
        <w:ind w:right="3" w:hanging="2"/>
        <w:jc w:val="center"/>
        <w:rPr>
          <w:b/>
        </w:rPr>
      </w:pPr>
    </w:p>
    <w:p w14:paraId="559E31B1" w14:textId="77777777" w:rsidR="006D21DB" w:rsidRDefault="006D21DB" w:rsidP="00DB354A">
      <w:pPr>
        <w:ind w:right="3" w:hanging="2"/>
        <w:jc w:val="center"/>
        <w:rPr>
          <w:b/>
        </w:rPr>
      </w:pPr>
    </w:p>
    <w:p w14:paraId="672EDFA4" w14:textId="77777777" w:rsidR="006D21DB" w:rsidRDefault="006D21DB" w:rsidP="00DB354A">
      <w:pPr>
        <w:ind w:right="3" w:hanging="2"/>
        <w:jc w:val="center"/>
        <w:rPr>
          <w:b/>
        </w:rPr>
      </w:pPr>
    </w:p>
    <w:p w14:paraId="057BC8BC" w14:textId="77777777" w:rsidR="006D21DB" w:rsidRDefault="006D21DB" w:rsidP="00DB354A">
      <w:pPr>
        <w:ind w:right="3" w:hanging="2"/>
        <w:jc w:val="center"/>
        <w:rPr>
          <w:b/>
        </w:rPr>
      </w:pPr>
    </w:p>
    <w:p w14:paraId="75BE6887" w14:textId="77777777" w:rsidR="006D21DB" w:rsidRDefault="006D21DB" w:rsidP="00DB354A">
      <w:pPr>
        <w:ind w:right="3" w:hanging="2"/>
        <w:jc w:val="center"/>
        <w:rPr>
          <w:b/>
        </w:rPr>
      </w:pPr>
    </w:p>
    <w:p w14:paraId="7E780491" w14:textId="77777777" w:rsidR="006D21DB" w:rsidRDefault="006D21DB" w:rsidP="00DB354A">
      <w:pPr>
        <w:ind w:right="3" w:hanging="2"/>
        <w:jc w:val="center"/>
        <w:rPr>
          <w:b/>
        </w:rPr>
      </w:pPr>
    </w:p>
    <w:p w14:paraId="60E32A25" w14:textId="24BCEA5F" w:rsidR="00DB354A" w:rsidRPr="003C7338" w:rsidRDefault="00DB354A" w:rsidP="003C7338">
      <w:pPr>
        <w:ind w:right="3" w:hanging="2"/>
        <w:jc w:val="center"/>
        <w:rPr>
          <w:rFonts w:ascii="Arial" w:hAnsi="Arial" w:cs="Arial"/>
        </w:rPr>
      </w:pPr>
      <w:r w:rsidRPr="003C7338">
        <w:rPr>
          <w:rFonts w:ascii="Arial" w:hAnsi="Arial" w:cs="Arial"/>
          <w:b/>
        </w:rPr>
        <w:t>PROYECTO MEJORAMIENTO Y AMPLIACIÓN DE LOS SERVICIOS DE CTI PARA FORTALECER EL SISTEMA NACIONAL DE CIENCIA, TECNOLOGÍA E INNOVACIÓN</w:t>
      </w:r>
    </w:p>
    <w:p w14:paraId="05D4BAB1" w14:textId="77777777" w:rsidR="00DB354A" w:rsidRPr="003C7338" w:rsidRDefault="00DB354A" w:rsidP="003C7338">
      <w:pPr>
        <w:ind w:right="3" w:hanging="2"/>
        <w:jc w:val="center"/>
        <w:rPr>
          <w:rFonts w:ascii="Arial" w:eastAsia="Calibri" w:hAnsi="Arial" w:cs="Arial"/>
        </w:rPr>
      </w:pPr>
    </w:p>
    <w:p w14:paraId="4D0AC555" w14:textId="77777777" w:rsidR="00DB354A" w:rsidRPr="003C7338" w:rsidRDefault="00000000" w:rsidP="003C7338">
      <w:pPr>
        <w:ind w:right="3" w:hanging="2"/>
        <w:jc w:val="center"/>
        <w:rPr>
          <w:rFonts w:ascii="Arial" w:eastAsia="Calibri" w:hAnsi="Arial" w:cs="Arial"/>
        </w:rPr>
      </w:pPr>
      <w:sdt>
        <w:sdtPr>
          <w:rPr>
            <w:rFonts w:ascii="Arial" w:hAnsi="Arial" w:cs="Arial"/>
          </w:rPr>
          <w:tag w:val="goog_rdk_0"/>
          <w:id w:val="1999764520"/>
        </w:sdtPr>
        <w:sdtContent/>
      </w:sdt>
      <w:r w:rsidR="00DB354A" w:rsidRPr="003C7338">
        <w:rPr>
          <w:rFonts w:ascii="Arial" w:eastAsia="Calibri" w:hAnsi="Arial" w:cs="Arial"/>
          <w:b/>
        </w:rPr>
        <w:t>TÉRMINOS DE REFERENCIA</w:t>
      </w:r>
    </w:p>
    <w:p w14:paraId="1A783353" w14:textId="77777777" w:rsidR="003C7338" w:rsidRPr="003C7338" w:rsidRDefault="003C7338" w:rsidP="003C7338">
      <w:pPr>
        <w:ind w:right="3" w:hanging="2"/>
        <w:jc w:val="center"/>
        <w:rPr>
          <w:rFonts w:ascii="Arial" w:hAnsi="Arial" w:cs="Arial"/>
          <w:b/>
          <w:bCs/>
          <w:color w:val="000000"/>
        </w:rPr>
      </w:pPr>
    </w:p>
    <w:p w14:paraId="29947E1F" w14:textId="01D31924" w:rsidR="006D21DB" w:rsidRPr="003C7338" w:rsidRDefault="006D21DB" w:rsidP="003C7338">
      <w:pPr>
        <w:ind w:right="3" w:hanging="2"/>
        <w:jc w:val="center"/>
        <w:rPr>
          <w:rFonts w:ascii="Arial" w:hAnsi="Arial" w:cs="Arial"/>
          <w:b/>
          <w:bCs/>
          <w:color w:val="000000"/>
        </w:rPr>
      </w:pPr>
      <w:r w:rsidRPr="003C7338">
        <w:rPr>
          <w:rFonts w:ascii="Arial" w:hAnsi="Arial" w:cs="Arial"/>
          <w:b/>
          <w:bCs/>
          <w:color w:val="000000"/>
        </w:rPr>
        <w:t xml:space="preserve">Analista Social y de Género </w:t>
      </w:r>
    </w:p>
    <w:p w14:paraId="40B73597" w14:textId="77777777" w:rsidR="006D21DB" w:rsidRPr="003C7338" w:rsidRDefault="006D21DB" w:rsidP="003C7338">
      <w:pPr>
        <w:ind w:right="3" w:hanging="2"/>
        <w:jc w:val="center"/>
        <w:rPr>
          <w:rFonts w:ascii="Arial" w:hAnsi="Arial" w:cs="Arial"/>
          <w:b/>
          <w:i/>
          <w:iCs/>
          <w:color w:val="4F81BD" w:themeColor="accent1"/>
        </w:rPr>
      </w:pPr>
      <w:bookmarkStart w:id="1" w:name="_heading=h.30j0zll" w:colFirst="0" w:colLast="0"/>
      <w:bookmarkEnd w:id="1"/>
    </w:p>
    <w:tbl>
      <w:tblPr>
        <w:tblW w:w="7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5670"/>
      </w:tblGrid>
      <w:tr w:rsidR="006D21DB" w14:paraId="49770B23" w14:textId="77777777" w:rsidTr="00632B8E">
        <w:trPr>
          <w:trHeight w:val="479"/>
          <w:jc w:val="center"/>
        </w:trPr>
        <w:tc>
          <w:tcPr>
            <w:tcW w:w="2224" w:type="dxa"/>
            <w:shd w:val="clear" w:color="auto" w:fill="FFFFFF"/>
            <w:vAlign w:val="center"/>
          </w:tcPr>
          <w:p w14:paraId="4F8FC2E3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E6D83">
              <w:t>Componente 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93460EB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E6D83">
              <w:t>Gestión del Proyecto</w:t>
            </w:r>
            <w:r w:rsidRPr="005E6D83" w:rsidDel="007D2F78">
              <w:t xml:space="preserve"> </w:t>
            </w:r>
          </w:p>
        </w:tc>
      </w:tr>
      <w:tr w:rsidR="006D21DB" w14:paraId="7E9887E2" w14:textId="77777777" w:rsidTr="00632B8E">
        <w:trPr>
          <w:trHeight w:val="401"/>
          <w:jc w:val="center"/>
        </w:trPr>
        <w:tc>
          <w:tcPr>
            <w:tcW w:w="2224" w:type="dxa"/>
            <w:shd w:val="clear" w:color="auto" w:fill="FFFFFF"/>
            <w:vAlign w:val="center"/>
          </w:tcPr>
          <w:p w14:paraId="76F3098A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E6D83">
              <w:t>Sub-Componente 4.1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4C1EC71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E6D83">
              <w:t>Equipo Técnico</w:t>
            </w:r>
            <w:r w:rsidRPr="005E6D83" w:rsidDel="007D2F78">
              <w:t xml:space="preserve"> </w:t>
            </w:r>
          </w:p>
        </w:tc>
      </w:tr>
      <w:tr w:rsidR="006D21DB" w14:paraId="32D83BE8" w14:textId="77777777" w:rsidTr="00632B8E">
        <w:trPr>
          <w:trHeight w:val="421"/>
          <w:jc w:val="center"/>
        </w:trPr>
        <w:tc>
          <w:tcPr>
            <w:tcW w:w="2224" w:type="dxa"/>
            <w:shd w:val="clear" w:color="auto" w:fill="FFFFFF"/>
            <w:vAlign w:val="center"/>
          </w:tcPr>
          <w:p w14:paraId="3CA1EB54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E6D83">
              <w:t>Actividad 4.1.1</w:t>
            </w:r>
          </w:p>
        </w:tc>
        <w:tc>
          <w:tcPr>
            <w:tcW w:w="5670" w:type="dxa"/>
            <w:vAlign w:val="center"/>
          </w:tcPr>
          <w:p w14:paraId="2ACDC3AB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E6D83">
              <w:t>Equipo Técnico</w:t>
            </w:r>
            <w:r w:rsidRPr="005E6D83" w:rsidDel="007D2F78">
              <w:t xml:space="preserve"> </w:t>
            </w:r>
          </w:p>
        </w:tc>
      </w:tr>
      <w:tr w:rsidR="006D21DB" w14:paraId="77A4F76D" w14:textId="77777777" w:rsidTr="00632B8E">
        <w:trPr>
          <w:trHeight w:val="412"/>
          <w:jc w:val="center"/>
        </w:trPr>
        <w:tc>
          <w:tcPr>
            <w:tcW w:w="2224" w:type="dxa"/>
            <w:shd w:val="clear" w:color="auto" w:fill="FFFFFF"/>
            <w:vAlign w:val="center"/>
          </w:tcPr>
          <w:p w14:paraId="2C7F0362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E6D83">
              <w:t>Categoría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FB180C0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5E6D83">
              <w:t>Consultoría Individual</w:t>
            </w:r>
          </w:p>
        </w:tc>
      </w:tr>
    </w:tbl>
    <w:p w14:paraId="0EB4FAD9" w14:textId="77777777" w:rsidR="006D21DB" w:rsidRDefault="006D21DB" w:rsidP="006D21DB">
      <w:pPr>
        <w:ind w:hanging="2"/>
        <w:jc w:val="both"/>
        <w:rPr>
          <w:rFonts w:ascii="Calibri" w:eastAsia="Calibri" w:hAnsi="Calibri" w:cs="Calibri"/>
        </w:rPr>
      </w:pPr>
    </w:p>
    <w:p w14:paraId="50082030" w14:textId="77777777" w:rsidR="006D21DB" w:rsidRDefault="006D21DB" w:rsidP="006D21DB">
      <w:pPr>
        <w:ind w:hanging="2"/>
        <w:jc w:val="both"/>
        <w:rPr>
          <w:rFonts w:ascii="Calibri" w:eastAsia="Calibri" w:hAnsi="Calibri" w:cs="Calibri"/>
        </w:rPr>
      </w:pPr>
    </w:p>
    <w:p w14:paraId="62C7A49B" w14:textId="77777777" w:rsidR="006D21DB" w:rsidRDefault="006D21DB" w:rsidP="006D2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>
        <w:rPr>
          <w:b/>
        </w:rPr>
        <w:t>1. ANTECEDENTES</w:t>
      </w:r>
    </w:p>
    <w:p w14:paraId="2002BFFA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</w:p>
    <w:p w14:paraId="248BA25A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bookmarkStart w:id="2" w:name="_Hlk122172523"/>
      <w:bookmarkStart w:id="3" w:name="_Hlk122172977"/>
      <w:bookmarkStart w:id="4" w:name="_Hlk122245125"/>
      <w:r>
        <w:rPr>
          <w:color w:val="000000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“Mejoramiento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</w:t>
      </w:r>
      <w:r w:rsidRPr="00A9112E">
        <w:rPr>
          <w:color w:val="000000"/>
        </w:rPr>
        <w:t>El proyecto tiene una duración global de sesenta y cuatro (64) meses y un presupuesto total de US$125 millones</w:t>
      </w:r>
      <w:bookmarkEnd w:id="2"/>
      <w:r w:rsidRPr="00A9112E">
        <w:rPr>
          <w:color w:val="000000"/>
        </w:rPr>
        <w:t>.</w:t>
      </w:r>
      <w:bookmarkEnd w:id="3"/>
    </w:p>
    <w:bookmarkEnd w:id="4"/>
    <w:p w14:paraId="1BE029F1" w14:textId="77777777" w:rsidR="006D21DB" w:rsidRDefault="006D21DB" w:rsidP="006D21DB">
      <w:pPr>
        <w:spacing w:line="276" w:lineRule="auto"/>
        <w:ind w:hanging="2"/>
        <w:jc w:val="both"/>
      </w:pPr>
    </w:p>
    <w:p w14:paraId="01B5D4D4" w14:textId="77777777" w:rsidR="006D21DB" w:rsidRDefault="006D21DB" w:rsidP="006D21DB">
      <w:pPr>
        <w:spacing w:line="276" w:lineRule="auto"/>
        <w:ind w:hanging="2"/>
        <w:jc w:val="both"/>
      </w:pPr>
      <w:r>
        <w:t>El Proyecto consta de los siguientes componentes:</w:t>
      </w:r>
    </w:p>
    <w:p w14:paraId="37B26710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u w:val="single"/>
        </w:rPr>
      </w:pPr>
    </w:p>
    <w:p w14:paraId="5228A46F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bookmarkStart w:id="5" w:name="_Hlk122172562"/>
      <w:r w:rsidRPr="00020555">
        <w:rPr>
          <w:u w:val="single"/>
        </w:rPr>
        <w:t>Componente 1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color w:val="000000"/>
        </w:rPr>
        <w:t>Fortalecimiento de las Instituciones y la Gobernanza del Sistema Nacional de Ciencia, Tecnología e Innovación (SINACTI) para Impulsar la Innovación en Perú (US$ 17 Millones)</w:t>
      </w:r>
    </w:p>
    <w:p w14:paraId="7C391C13" w14:textId="77777777" w:rsidR="006D21DB" w:rsidRPr="00AB7E03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35F6F85E" w14:textId="77777777" w:rsidR="006D21DB" w:rsidRPr="00AB7E03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 w:rsidRPr="00AB7E03">
        <w:rPr>
          <w:color w:val="000000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5EA3048A" w14:textId="77777777" w:rsidR="006D21DB" w:rsidRDefault="006D21DB" w:rsidP="006D21DB">
      <w:pPr>
        <w:spacing w:line="276" w:lineRule="auto"/>
        <w:ind w:hanging="2"/>
        <w:jc w:val="both"/>
      </w:pPr>
    </w:p>
    <w:p w14:paraId="2EF20C88" w14:textId="77777777" w:rsidR="006D21DB" w:rsidRDefault="006D21DB" w:rsidP="006D21DB">
      <w:pPr>
        <w:spacing w:line="276" w:lineRule="auto"/>
        <w:ind w:hanging="2"/>
        <w:jc w:val="both"/>
      </w:pPr>
      <w:bookmarkStart w:id="6" w:name="_Hlk115163677"/>
      <w:r>
        <w:rPr>
          <w:u w:val="single"/>
        </w:rPr>
        <w:t xml:space="preserve">Componente 2: </w:t>
      </w:r>
      <w:r w:rsidRPr="00020555">
        <w:t>Desarrollo de capacidades para la generación de conocimiento en Áreas Estratégicas (US$ 74.8 millones).</w:t>
      </w:r>
    </w:p>
    <w:p w14:paraId="16D7948D" w14:textId="77777777" w:rsidR="006D21DB" w:rsidRDefault="006D21DB" w:rsidP="006D21DB">
      <w:pPr>
        <w:spacing w:line="276" w:lineRule="auto"/>
        <w:ind w:hanging="2"/>
        <w:jc w:val="both"/>
      </w:pPr>
      <w:r>
        <w:t xml:space="preserve"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</w:t>
      </w:r>
      <w:r>
        <w:lastRenderedPageBreak/>
        <w:t>proyectos de I+D+i.</w:t>
      </w:r>
    </w:p>
    <w:p w14:paraId="676AA236" w14:textId="77777777" w:rsidR="006D21DB" w:rsidRDefault="006D21DB" w:rsidP="006D21DB">
      <w:pPr>
        <w:spacing w:line="276" w:lineRule="auto"/>
        <w:ind w:hanging="2"/>
        <w:jc w:val="both"/>
      </w:pPr>
    </w:p>
    <w:p w14:paraId="00DDEC47" w14:textId="77777777" w:rsidR="006D21DB" w:rsidRDefault="006D21DB" w:rsidP="006D21DB">
      <w:pPr>
        <w:spacing w:line="276" w:lineRule="auto"/>
        <w:ind w:hanging="2"/>
        <w:jc w:val="both"/>
      </w:pPr>
      <w:bookmarkStart w:id="7" w:name="_Hlk115248401"/>
      <w:r>
        <w:rPr>
          <w:lang w:val="es-PE" w:eastAsia="es-PE"/>
        </w:rPr>
        <w:t xml:space="preserve">Este componente </w:t>
      </w:r>
      <w:r>
        <w:rPr>
          <w:lang w:eastAsia="es-PE"/>
        </w:rPr>
        <w:t>incluye el financiamiento de</w:t>
      </w:r>
      <w:r>
        <w:rPr>
          <w:lang w:val="es-PE" w:eastAsia="es-PE"/>
        </w:rPr>
        <w:t xml:space="preserve"> becas para que ciudadanos peruanos realicen formación doctoral en los programas de doctorado</w:t>
      </w:r>
      <w:r>
        <w:rPr>
          <w:lang w:eastAsia="es-PE"/>
        </w:rPr>
        <w:t xml:space="preserve"> y </w:t>
      </w:r>
      <w:r>
        <w:rPr>
          <w:lang w:val="es-PE" w:eastAsia="es-PE"/>
        </w:rPr>
        <w:t>cofinanciará subvenciones para apoyar la investigación, el desarrollo tecnológico y la innovación con orientación a la demanda y de alta relevancia</w:t>
      </w:r>
      <w:r>
        <w:rPr>
          <w:lang w:eastAsia="es-PE"/>
        </w:rPr>
        <w:t xml:space="preserve"> </w:t>
      </w:r>
      <w:r>
        <w:rPr>
          <w:lang w:val="es-PE" w:eastAsia="es-PE"/>
        </w:rPr>
        <w:t>apoyados en las Áreas Estratégicas</w:t>
      </w:r>
      <w:bookmarkEnd w:id="7"/>
      <w:r>
        <w:t>, con al menos el 50 por ciento del financiamiento total del componente destinado al Área Estratégica de Clima.</w:t>
      </w:r>
    </w:p>
    <w:p w14:paraId="5CBE2088" w14:textId="77777777" w:rsidR="006D21DB" w:rsidRDefault="006D21DB" w:rsidP="006D21DB">
      <w:pPr>
        <w:spacing w:line="276" w:lineRule="auto"/>
        <w:ind w:hanging="2"/>
        <w:jc w:val="both"/>
      </w:pPr>
    </w:p>
    <w:p w14:paraId="04F2D8DA" w14:textId="77777777" w:rsidR="006D21DB" w:rsidRDefault="006D21DB" w:rsidP="006D21DB">
      <w:pPr>
        <w:spacing w:line="276" w:lineRule="auto"/>
        <w:ind w:hanging="2"/>
        <w:jc w:val="both"/>
      </w:pPr>
      <w:r>
        <w:rPr>
          <w:u w:val="single"/>
        </w:rPr>
        <w:t>Componente 3:</w:t>
      </w:r>
      <w:r>
        <w:t xml:space="preserve"> Fortalecimiento de los vínculos entre la industria y el mundo académico para acelerar la transferencia de tecnología y la innovación empresarial basada en la Ciencia (US$ 23.7 millones).</w:t>
      </w:r>
    </w:p>
    <w:p w14:paraId="7375E128" w14:textId="77777777" w:rsidR="006D21DB" w:rsidRDefault="006D21DB" w:rsidP="006D21DB">
      <w:pPr>
        <w:spacing w:line="276" w:lineRule="auto"/>
        <w:ind w:hanging="2"/>
        <w:jc w:val="both"/>
      </w:pPr>
      <w: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0C4BC40E" w14:textId="77777777" w:rsidR="006D21DB" w:rsidRDefault="006D21DB" w:rsidP="006D21DB">
      <w:pPr>
        <w:spacing w:line="276" w:lineRule="auto"/>
        <w:ind w:hanging="2"/>
        <w:jc w:val="both"/>
        <w:rPr>
          <w:u w:val="single"/>
        </w:rPr>
      </w:pPr>
    </w:p>
    <w:p w14:paraId="51ACFEC3" w14:textId="77777777" w:rsidR="006D21DB" w:rsidRDefault="006D21DB" w:rsidP="006D21DB">
      <w:pPr>
        <w:spacing w:line="276" w:lineRule="auto"/>
        <w:ind w:hanging="2"/>
        <w:jc w:val="both"/>
      </w:pPr>
      <w:r>
        <w:rPr>
          <w:u w:val="single"/>
        </w:rPr>
        <w:t>Componente 4:</w:t>
      </w:r>
      <w:r>
        <w:t xml:space="preserve"> Gestión de proyectos y seguimiento y evaluación (US$ 9.5 millones)</w:t>
      </w:r>
    </w:p>
    <w:p w14:paraId="74B66916" w14:textId="77777777" w:rsidR="006D21DB" w:rsidRDefault="006D21DB" w:rsidP="006D21DB">
      <w:pPr>
        <w:spacing w:line="276" w:lineRule="auto"/>
        <w:ind w:hanging="2"/>
        <w:jc w:val="both"/>
      </w:pPr>
      <w:r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</w:p>
    <w:bookmarkEnd w:id="5"/>
    <w:p w14:paraId="14EA6090" w14:textId="77777777" w:rsidR="006D21DB" w:rsidRDefault="006D21DB" w:rsidP="006D21DB">
      <w:pPr>
        <w:spacing w:line="276" w:lineRule="auto"/>
        <w:ind w:hanging="2"/>
        <w:jc w:val="both"/>
      </w:pPr>
    </w:p>
    <w:bookmarkEnd w:id="6"/>
    <w:p w14:paraId="7E87399E" w14:textId="77777777" w:rsidR="006D21DB" w:rsidRDefault="006D21DB" w:rsidP="006D2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>
        <w:rPr>
          <w:b/>
        </w:rPr>
        <w:t>2. OBJETO DE LA CONSULTORÍA</w:t>
      </w:r>
    </w:p>
    <w:p w14:paraId="24BA6347" w14:textId="77777777" w:rsidR="006D21DB" w:rsidRDefault="006D21DB" w:rsidP="006D21DB">
      <w:pPr>
        <w:spacing w:line="276" w:lineRule="auto"/>
        <w:ind w:hanging="2"/>
        <w:jc w:val="both"/>
        <w:rPr>
          <w:color w:val="000000"/>
        </w:rPr>
      </w:pPr>
      <w:bookmarkStart w:id="8" w:name="_heading=h.1fob9te" w:colFirst="0" w:colLast="0"/>
      <w:bookmarkEnd w:id="8"/>
    </w:p>
    <w:p w14:paraId="1D7F5E75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  <w:bookmarkStart w:id="9" w:name="_heading=h.3znysh7" w:colFirst="0" w:colLast="0"/>
      <w:bookmarkEnd w:id="9"/>
      <w:r>
        <w:rPr>
          <w:highlight w:val="white"/>
        </w:rPr>
        <w:t xml:space="preserve">Contratar a un profesional con el objeto de que preste servicios de </w:t>
      </w:r>
      <w:sdt>
        <w:sdtPr>
          <w:tag w:val="goog_rdk_6"/>
          <w:id w:val="46732308"/>
        </w:sdtPr>
        <w:sdtContent>
          <w:r>
            <w:rPr>
              <w:highlight w:val="white"/>
            </w:rPr>
            <w:t>c</w:t>
          </w:r>
        </w:sdtContent>
      </w:sdt>
      <w:r>
        <w:rPr>
          <w:highlight w:val="white"/>
        </w:rPr>
        <w:t xml:space="preserve">onsultoría como </w:t>
      </w:r>
      <w:r w:rsidRPr="001F7BAB">
        <w:rPr>
          <w:highlight w:val="white"/>
        </w:rPr>
        <w:t xml:space="preserve">Analista social y </w:t>
      </w:r>
      <w:r>
        <w:rPr>
          <w:highlight w:val="white"/>
        </w:rPr>
        <w:t>de g</w:t>
      </w:r>
      <w:r w:rsidRPr="001F7BAB">
        <w:rPr>
          <w:highlight w:val="white"/>
        </w:rPr>
        <w:t>énero</w:t>
      </w:r>
      <w:r>
        <w:rPr>
          <w:highlight w:val="white"/>
        </w:rPr>
        <w:t xml:space="preserve"> para el Proyecto.</w:t>
      </w:r>
    </w:p>
    <w:p w14:paraId="3A5762CE" w14:textId="77777777" w:rsidR="006D21DB" w:rsidRPr="001F7BAB" w:rsidRDefault="006D21DB" w:rsidP="006D21DB">
      <w:pPr>
        <w:spacing w:line="276" w:lineRule="auto"/>
        <w:ind w:hanging="2"/>
        <w:jc w:val="both"/>
        <w:rPr>
          <w:highlight w:val="white"/>
        </w:rPr>
      </w:pPr>
    </w:p>
    <w:p w14:paraId="45764A6F" w14:textId="77777777" w:rsidR="006D21DB" w:rsidRDefault="006D21DB" w:rsidP="006D2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>
        <w:rPr>
          <w:b/>
        </w:rPr>
        <w:t>3. ACTIVIDADES</w:t>
      </w:r>
    </w:p>
    <w:p w14:paraId="661256BE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</w:p>
    <w:p w14:paraId="6896AFBB" w14:textId="77777777" w:rsidR="006D21DB" w:rsidRPr="00263865" w:rsidRDefault="006D21DB" w:rsidP="006D21DB">
      <w:pPr>
        <w:spacing w:line="276" w:lineRule="auto"/>
        <w:ind w:hanging="2"/>
        <w:jc w:val="both"/>
        <w:rPr>
          <w:highlight w:val="white"/>
        </w:rPr>
      </w:pPr>
      <w:bookmarkStart w:id="10" w:name="_Hlk128044797"/>
      <w:bookmarkStart w:id="11" w:name="_Hlk128048022"/>
      <w:r w:rsidRPr="00F125A1">
        <w:rPr>
          <w:highlight w:val="white"/>
        </w:rPr>
        <w:t xml:space="preserve">El(la) Consultor(a) desarrollará las actividades necesarias para cumplir el objeto del contrato, siguiendo los procedimientos y estándares definidos </w:t>
      </w:r>
      <w:r>
        <w:rPr>
          <w:highlight w:val="white"/>
        </w:rPr>
        <w:t>p</w:t>
      </w:r>
      <w:r w:rsidRPr="00F125A1">
        <w:rPr>
          <w:highlight w:val="white"/>
        </w:rPr>
        <w:t>ara el Proyecto en el Contrato de Préstamo y el Manual Operativo del Proyecto, y como mínimo deberá cumplir las siguientes actividades</w:t>
      </w:r>
      <w:bookmarkEnd w:id="10"/>
      <w:r w:rsidRPr="00F125A1">
        <w:rPr>
          <w:highlight w:val="white"/>
        </w:rPr>
        <w:t>:</w:t>
      </w:r>
      <w:bookmarkEnd w:id="11"/>
      <w:r w:rsidRPr="00263865">
        <w:rPr>
          <w:highlight w:val="white"/>
        </w:rPr>
        <w:t xml:space="preserve"> </w:t>
      </w:r>
    </w:p>
    <w:p w14:paraId="77E08AAC" w14:textId="77777777" w:rsidR="006D21DB" w:rsidRPr="00300061" w:rsidRDefault="006D21DB" w:rsidP="006D21DB">
      <w:pPr>
        <w:spacing w:line="276" w:lineRule="auto"/>
        <w:ind w:hanging="2"/>
        <w:jc w:val="both"/>
        <w:rPr>
          <w:color w:val="000000"/>
        </w:rPr>
      </w:pPr>
    </w:p>
    <w:p w14:paraId="7C34DE58" w14:textId="77777777" w:rsidR="006D21DB" w:rsidRPr="00AC6A9C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val="es-PE"/>
        </w:rPr>
      </w:pPr>
      <w:bookmarkStart w:id="12" w:name="_Hlk113290526"/>
      <w:r w:rsidRPr="0000485B">
        <w:rPr>
          <w:rFonts w:ascii="Arial" w:hAnsi="Arial"/>
          <w:highlight w:val="white"/>
          <w:lang w:eastAsia="es-MX"/>
        </w:rPr>
        <w:t xml:space="preserve">Promover acciones para el cumplimiento de los </w:t>
      </w:r>
      <w:r w:rsidRPr="0000485B">
        <w:rPr>
          <w:rFonts w:ascii="Arial" w:hAnsi="Arial"/>
          <w:highlight w:val="white"/>
          <w:lang w:val="es-PE"/>
        </w:rPr>
        <w:t>Estándares Ambientales y Sociales (EAS)</w:t>
      </w:r>
      <w:r>
        <w:rPr>
          <w:rFonts w:ascii="Arial" w:hAnsi="Arial"/>
          <w:highlight w:val="white"/>
          <w:lang w:val="es-PE"/>
        </w:rPr>
        <w:t xml:space="preserve"> del Banco Mundial</w:t>
      </w:r>
      <w:r w:rsidRPr="0000485B">
        <w:rPr>
          <w:rFonts w:ascii="Arial" w:hAnsi="Arial"/>
          <w:highlight w:val="white"/>
          <w:lang w:val="es-PE"/>
        </w:rPr>
        <w:t xml:space="preserve"> aplicables al proyecto</w:t>
      </w:r>
      <w:r>
        <w:rPr>
          <w:rFonts w:ascii="Arial" w:hAnsi="Arial"/>
          <w:highlight w:val="white"/>
          <w:lang w:val="es-PE"/>
        </w:rPr>
        <w:t xml:space="preserve"> en sus diferentes acciones, con énfasis, en:</w:t>
      </w:r>
      <w:r w:rsidRPr="00AC6A9C">
        <w:rPr>
          <w:rFonts w:ascii="Arial" w:hAnsi="Arial"/>
          <w:highlight w:val="white"/>
          <w:lang w:val="es-PE"/>
        </w:rPr>
        <w:t xml:space="preserve"> EAS 1: Evaluación y Gestión de Riesgos e Impactos Ambientales y Sociales,</w:t>
      </w:r>
      <w:r>
        <w:rPr>
          <w:rFonts w:ascii="Arial" w:hAnsi="Arial"/>
          <w:highlight w:val="white"/>
          <w:lang w:val="es-PE"/>
        </w:rPr>
        <w:t xml:space="preserve"> </w:t>
      </w:r>
      <w:r w:rsidRPr="00AC6A9C">
        <w:rPr>
          <w:rFonts w:ascii="Arial" w:hAnsi="Arial"/>
          <w:highlight w:val="white"/>
          <w:lang w:val="es-PE"/>
        </w:rPr>
        <w:t>EAS 2: Trabajo y Condiciones Laborales, EAS 7: Pueblos indígenas, y</w:t>
      </w:r>
      <w:r>
        <w:rPr>
          <w:rFonts w:ascii="Arial" w:hAnsi="Arial"/>
          <w:highlight w:val="white"/>
          <w:lang w:val="es-PE"/>
        </w:rPr>
        <w:t>,</w:t>
      </w:r>
      <w:r w:rsidRPr="00AC6A9C">
        <w:rPr>
          <w:rFonts w:ascii="Arial" w:hAnsi="Arial"/>
          <w:highlight w:val="white"/>
          <w:lang w:val="es-PE"/>
        </w:rPr>
        <w:t xml:space="preserve"> EAS 10 Participación de las Partes Interesadas y Divulgación de Información</w:t>
      </w:r>
      <w:r>
        <w:rPr>
          <w:rFonts w:ascii="Arial" w:hAnsi="Arial"/>
          <w:highlight w:val="white"/>
          <w:lang w:val="es-PE"/>
        </w:rPr>
        <w:t>.</w:t>
      </w:r>
    </w:p>
    <w:p w14:paraId="1342CB89" w14:textId="77777777" w:rsidR="006D21DB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eastAsia="es-MX"/>
        </w:rPr>
      </w:pPr>
      <w:r>
        <w:rPr>
          <w:rFonts w:ascii="Arial" w:hAnsi="Arial"/>
          <w:highlight w:val="white"/>
          <w:lang w:eastAsia="es-MX"/>
        </w:rPr>
        <w:t xml:space="preserve">Colaborar en la implementación del Marco de Gestión Ambiental y Social- MGAS </w:t>
      </w:r>
      <w:r w:rsidRPr="00AC6A9C">
        <w:rPr>
          <w:rFonts w:ascii="Arial" w:hAnsi="Arial"/>
          <w:highlight w:val="white"/>
          <w:lang w:eastAsia="es-MX"/>
        </w:rPr>
        <w:t>Plan de Participación de Partes Interesadas - PPPI y Procedimientos de Gestión Laboral – PGL,</w:t>
      </w:r>
      <w:r>
        <w:rPr>
          <w:rFonts w:ascii="Arial" w:hAnsi="Arial"/>
          <w:highlight w:val="white"/>
          <w:lang w:eastAsia="es-MX"/>
        </w:rPr>
        <w:t xml:space="preserve"> en las diferentes actividades que desarrolle el proyecto; así como su difusión interna y externa.</w:t>
      </w:r>
    </w:p>
    <w:p w14:paraId="0486FA19" w14:textId="77777777" w:rsidR="006D21DB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eastAsia="es-MX"/>
        </w:rPr>
      </w:pPr>
      <w:r w:rsidRPr="0000485B">
        <w:rPr>
          <w:rFonts w:ascii="Arial" w:hAnsi="Arial"/>
          <w:highlight w:val="white"/>
          <w:lang w:eastAsia="es-MX"/>
        </w:rPr>
        <w:lastRenderedPageBreak/>
        <w:t>Desarrollar</w:t>
      </w:r>
      <w:r>
        <w:rPr>
          <w:rFonts w:ascii="Arial" w:hAnsi="Arial"/>
          <w:highlight w:val="white"/>
          <w:lang w:eastAsia="es-MX"/>
        </w:rPr>
        <w:t>,</w:t>
      </w:r>
      <w:r w:rsidRPr="0000485B">
        <w:rPr>
          <w:rFonts w:ascii="Arial" w:hAnsi="Arial"/>
          <w:highlight w:val="white"/>
          <w:lang w:eastAsia="es-MX"/>
        </w:rPr>
        <w:t xml:space="preserve"> implementar</w:t>
      </w:r>
      <w:r>
        <w:rPr>
          <w:rFonts w:ascii="Arial" w:hAnsi="Arial"/>
          <w:highlight w:val="white"/>
          <w:lang w:eastAsia="es-MX"/>
        </w:rPr>
        <w:t xml:space="preserve"> y monitorear</w:t>
      </w:r>
      <w:r w:rsidRPr="0000485B">
        <w:rPr>
          <w:rFonts w:ascii="Arial" w:hAnsi="Arial"/>
          <w:highlight w:val="white"/>
          <w:lang w:eastAsia="es-MX"/>
        </w:rPr>
        <w:t xml:space="preserve"> un </w:t>
      </w:r>
      <w:r w:rsidRPr="00AD72CB">
        <w:rPr>
          <w:rFonts w:ascii="Arial" w:hAnsi="Arial"/>
          <w:highlight w:val="white"/>
          <w:lang w:eastAsia="es-MX"/>
        </w:rPr>
        <w:t>Plan de Acción de Género</w:t>
      </w:r>
      <w:r w:rsidRPr="0000485B">
        <w:rPr>
          <w:rFonts w:ascii="Arial" w:hAnsi="Arial"/>
          <w:highlight w:val="white"/>
          <w:lang w:eastAsia="es-MX"/>
        </w:rPr>
        <w:t xml:space="preserve"> </w:t>
      </w:r>
      <w:r>
        <w:rPr>
          <w:rFonts w:ascii="Arial" w:hAnsi="Arial"/>
          <w:highlight w:val="white"/>
          <w:lang w:eastAsia="es-MX"/>
        </w:rPr>
        <w:t>para el proyecto que permita incluir el enfoque de género en las actividades del proyecto para propiciar la igualdad de género.</w:t>
      </w:r>
    </w:p>
    <w:p w14:paraId="493554D1" w14:textId="77777777" w:rsidR="006D21DB" w:rsidRPr="006159FB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eastAsia="es-MX"/>
        </w:rPr>
      </w:pPr>
      <w:r w:rsidRPr="00306236">
        <w:rPr>
          <w:rFonts w:ascii="Arial" w:hAnsi="Arial"/>
          <w:highlight w:val="white"/>
          <w:lang w:eastAsia="es-MX"/>
        </w:rPr>
        <w:t>Realizar actividades de formación para los consultores del proyecto y se las entidades subvencionadas, sobre el enfoque de género y sobre acciones que permitan propiciar la igualdad de g</w:t>
      </w:r>
      <w:r w:rsidRPr="00DF230B">
        <w:rPr>
          <w:rFonts w:ascii="Arial" w:hAnsi="Arial"/>
          <w:highlight w:val="white"/>
          <w:lang w:eastAsia="es-MX"/>
        </w:rPr>
        <w:t>énero de manera efectiva.</w:t>
      </w:r>
    </w:p>
    <w:p w14:paraId="1E03B78F" w14:textId="77777777" w:rsidR="006D21DB" w:rsidRPr="006159FB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eastAsia="es-MX"/>
        </w:rPr>
      </w:pPr>
      <w:r>
        <w:rPr>
          <w:rFonts w:ascii="Arial" w:hAnsi="Arial"/>
          <w:highlight w:val="white"/>
          <w:lang w:eastAsia="es-MX"/>
        </w:rPr>
        <w:t>Coordinar con las unidades y sub unidades del PROCIENCIA la incorporación de acciones que promuevan la equidad de género y la inclusión social, y las buenas relaciones con la comunidad en las subvenciones que se desarrollen en el proyecto.</w:t>
      </w:r>
    </w:p>
    <w:p w14:paraId="0FA5B66E" w14:textId="77777777" w:rsidR="006D21DB" w:rsidRPr="006159FB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eastAsia="es-MX"/>
        </w:rPr>
      </w:pPr>
      <w:r>
        <w:rPr>
          <w:rFonts w:ascii="Arial" w:hAnsi="Arial"/>
          <w:highlight w:val="white"/>
          <w:lang w:eastAsia="es-MX"/>
        </w:rPr>
        <w:t>S</w:t>
      </w:r>
      <w:r w:rsidRPr="006159FB">
        <w:rPr>
          <w:rFonts w:ascii="Arial" w:hAnsi="Arial"/>
          <w:highlight w:val="white"/>
          <w:lang w:eastAsia="es-MX"/>
        </w:rPr>
        <w:t xml:space="preserve">upervisar </w:t>
      </w:r>
      <w:r>
        <w:rPr>
          <w:rFonts w:ascii="Arial" w:hAnsi="Arial"/>
          <w:highlight w:val="white"/>
          <w:lang w:eastAsia="es-MX"/>
        </w:rPr>
        <w:t>que las actividades del proyecto</w:t>
      </w:r>
      <w:r w:rsidRPr="006159FB">
        <w:rPr>
          <w:rFonts w:ascii="Arial" w:hAnsi="Arial"/>
          <w:highlight w:val="white"/>
          <w:lang w:eastAsia="es-MX"/>
        </w:rPr>
        <w:t xml:space="preserve"> cumpl</w:t>
      </w:r>
      <w:r>
        <w:rPr>
          <w:rFonts w:ascii="Arial" w:hAnsi="Arial"/>
          <w:highlight w:val="white"/>
          <w:lang w:eastAsia="es-MX"/>
        </w:rPr>
        <w:t>a</w:t>
      </w:r>
      <w:r w:rsidRPr="006159FB">
        <w:rPr>
          <w:rFonts w:ascii="Arial" w:hAnsi="Arial"/>
          <w:highlight w:val="white"/>
          <w:lang w:eastAsia="es-MX"/>
        </w:rPr>
        <w:t>n los objetivos</w:t>
      </w:r>
      <w:r>
        <w:rPr>
          <w:rFonts w:ascii="Arial" w:hAnsi="Arial"/>
          <w:highlight w:val="white"/>
          <w:lang w:eastAsia="es-MX"/>
        </w:rPr>
        <w:t xml:space="preserve"> de equidad e igualdad de género</w:t>
      </w:r>
      <w:r w:rsidRPr="006159FB">
        <w:rPr>
          <w:rFonts w:ascii="Arial" w:hAnsi="Arial"/>
          <w:highlight w:val="white"/>
          <w:lang w:eastAsia="es-MX"/>
        </w:rPr>
        <w:t xml:space="preserve"> propuestos y aplica</w:t>
      </w:r>
      <w:r>
        <w:rPr>
          <w:rFonts w:ascii="Arial" w:hAnsi="Arial"/>
          <w:highlight w:val="white"/>
          <w:lang w:eastAsia="es-MX"/>
        </w:rPr>
        <w:t>r</w:t>
      </w:r>
      <w:r w:rsidRPr="006159FB">
        <w:rPr>
          <w:rFonts w:ascii="Arial" w:hAnsi="Arial"/>
          <w:highlight w:val="white"/>
          <w:lang w:eastAsia="es-MX"/>
        </w:rPr>
        <w:t xml:space="preserve"> las correcciones que sean necesarias </w:t>
      </w:r>
      <w:r>
        <w:rPr>
          <w:rFonts w:ascii="Arial" w:hAnsi="Arial"/>
          <w:highlight w:val="white"/>
          <w:lang w:eastAsia="es-MX"/>
        </w:rPr>
        <w:t>a fin que las estas</w:t>
      </w:r>
      <w:r w:rsidRPr="006159FB">
        <w:rPr>
          <w:rFonts w:ascii="Arial" w:hAnsi="Arial"/>
          <w:highlight w:val="white"/>
          <w:lang w:eastAsia="es-MX"/>
        </w:rPr>
        <w:t xml:space="preserve"> </w:t>
      </w:r>
      <w:r>
        <w:rPr>
          <w:rFonts w:ascii="Arial" w:hAnsi="Arial"/>
          <w:highlight w:val="white"/>
          <w:lang w:eastAsia="es-MX"/>
        </w:rPr>
        <w:t>tengan efectos positivos sobre el proyecto y sus trabajadores.</w:t>
      </w:r>
    </w:p>
    <w:p w14:paraId="63544664" w14:textId="77777777" w:rsidR="006D21DB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eastAsia="es-MX"/>
        </w:rPr>
      </w:pPr>
      <w:r>
        <w:rPr>
          <w:rFonts w:ascii="Arial" w:hAnsi="Arial"/>
          <w:highlight w:val="white"/>
          <w:lang w:eastAsia="es-MX"/>
        </w:rPr>
        <w:t>Elaborar los informes técnicos con los resultados intermedios y finales para las misiones y revisión de cartera del Banco Mundial semestrales y otros informes que sean requeridos por PROCIENCIA.</w:t>
      </w:r>
    </w:p>
    <w:p w14:paraId="331D5F84" w14:textId="77777777" w:rsidR="006D21DB" w:rsidRPr="009349E0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Alignment w:val="top"/>
        <w:outlineLvl w:val="0"/>
        <w:rPr>
          <w:rFonts w:ascii="Arial" w:hAnsi="Arial"/>
          <w:highlight w:val="white"/>
          <w:lang w:eastAsia="es-MX"/>
        </w:rPr>
      </w:pPr>
      <w:r w:rsidRPr="009349E0">
        <w:rPr>
          <w:rFonts w:ascii="Arial" w:hAnsi="Arial"/>
          <w:highlight w:val="white"/>
          <w:lang w:eastAsia="es-MX"/>
        </w:rPr>
        <w:t>Apoyar en la supervisión del diseño y ejecución de planes de acción de mi</w:t>
      </w:r>
      <w:r>
        <w:rPr>
          <w:rFonts w:ascii="Arial" w:hAnsi="Arial"/>
          <w:highlight w:val="white"/>
          <w:lang w:eastAsia="es-MX"/>
        </w:rPr>
        <w:t>tigación de impactos sociales</w:t>
      </w:r>
      <w:r w:rsidRPr="009349E0">
        <w:rPr>
          <w:rFonts w:ascii="Arial" w:hAnsi="Arial"/>
          <w:highlight w:val="white"/>
          <w:lang w:eastAsia="es-MX"/>
        </w:rPr>
        <w:t xml:space="preserve"> negativos, como respuesta a las alertas del sistema de monitoreo, en el marco de </w:t>
      </w:r>
      <w:r>
        <w:rPr>
          <w:rFonts w:ascii="Arial" w:hAnsi="Arial"/>
          <w:highlight w:val="white"/>
          <w:lang w:eastAsia="es-MX"/>
        </w:rPr>
        <w:t>los Estándares Ambientales y Sociales</w:t>
      </w:r>
      <w:r w:rsidRPr="009349E0">
        <w:rPr>
          <w:rFonts w:ascii="Arial" w:hAnsi="Arial"/>
          <w:highlight w:val="white"/>
          <w:lang w:eastAsia="es-MX"/>
        </w:rPr>
        <w:t xml:space="preserve"> del Banco Mundial </w:t>
      </w:r>
      <w:r>
        <w:rPr>
          <w:rFonts w:ascii="Arial" w:hAnsi="Arial"/>
          <w:highlight w:val="white"/>
          <w:lang w:eastAsia="es-MX"/>
        </w:rPr>
        <w:t>aplicables al proyecto.</w:t>
      </w:r>
    </w:p>
    <w:p w14:paraId="08E62818" w14:textId="77777777" w:rsidR="006D21DB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eastAsia="es-MX"/>
        </w:rPr>
      </w:pPr>
      <w:r>
        <w:rPr>
          <w:rFonts w:ascii="Arial" w:hAnsi="Arial"/>
          <w:highlight w:val="white"/>
          <w:lang w:eastAsia="es-MX"/>
        </w:rPr>
        <w:t>Realizar la gestión de datos para la elaboración de informes de avance para el Banco Mundial o que sean requeridos por PROCIENCIA.</w:t>
      </w:r>
    </w:p>
    <w:p w14:paraId="009CCBBB" w14:textId="77777777" w:rsidR="006D21DB" w:rsidRPr="006159FB" w:rsidRDefault="006D21DB" w:rsidP="006D21DB">
      <w:pPr>
        <w:pStyle w:val="Prrafodelista"/>
        <w:widowControl/>
        <w:numPr>
          <w:ilvl w:val="0"/>
          <w:numId w:val="17"/>
        </w:numPr>
        <w:suppressAutoHyphens/>
        <w:autoSpaceDE/>
        <w:autoSpaceDN/>
        <w:spacing w:line="276" w:lineRule="auto"/>
        <w:ind w:leftChars="60" w:left="557" w:hanging="425"/>
        <w:contextualSpacing/>
        <w:jc w:val="both"/>
        <w:textDirection w:val="btLr"/>
        <w:textAlignment w:val="top"/>
        <w:outlineLvl w:val="0"/>
        <w:rPr>
          <w:rFonts w:ascii="Arial" w:hAnsi="Arial"/>
          <w:highlight w:val="white"/>
          <w:lang w:eastAsia="es-MX"/>
        </w:rPr>
      </w:pPr>
      <w:r>
        <w:rPr>
          <w:rFonts w:ascii="Arial" w:hAnsi="Arial"/>
          <w:highlight w:val="white"/>
          <w:lang w:eastAsia="es-MX"/>
        </w:rPr>
        <w:t xml:space="preserve">Otros que sean asignados por la supervisión del contrato. </w:t>
      </w:r>
    </w:p>
    <w:bookmarkEnd w:id="12"/>
    <w:p w14:paraId="1A408274" w14:textId="77777777" w:rsidR="006D21DB" w:rsidRDefault="006D21DB" w:rsidP="006D21DB">
      <w:pPr>
        <w:spacing w:line="276" w:lineRule="auto"/>
        <w:ind w:hanging="2"/>
        <w:jc w:val="both"/>
        <w:rPr>
          <w:color w:val="000000"/>
        </w:rPr>
      </w:pPr>
    </w:p>
    <w:p w14:paraId="37D9547D" w14:textId="77777777" w:rsidR="006D21DB" w:rsidRDefault="006D21DB" w:rsidP="006D21D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>
        <w:rPr>
          <w:b/>
        </w:rPr>
        <w:t>4. INFORMES</w:t>
      </w:r>
    </w:p>
    <w:p w14:paraId="278B152B" w14:textId="77777777" w:rsidR="006D21DB" w:rsidRDefault="006D21DB" w:rsidP="006D21DB">
      <w:pPr>
        <w:spacing w:line="276" w:lineRule="auto"/>
        <w:ind w:hanging="2"/>
        <w:jc w:val="both"/>
      </w:pPr>
      <w:bookmarkStart w:id="13" w:name="_heading=h.2et92p0" w:colFirst="0" w:colLast="0"/>
      <w:bookmarkEnd w:id="13"/>
    </w:p>
    <w:p w14:paraId="1DB7D503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  <w:r>
        <w:rPr>
          <w:highlight w:val="white"/>
        </w:rPr>
        <w:t>El/La consultor (a) presentará informes mensuales respecto las actividades desarrolladas, según el numeral 3 del presente t</w:t>
      </w:r>
      <w:sdt>
        <w:sdtPr>
          <w:tag w:val="goog_rdk_12"/>
          <w:id w:val="-710568318"/>
        </w:sdtPr>
        <w:sdtContent>
          <w:r>
            <w:rPr>
              <w:highlight w:val="white"/>
            </w:rPr>
            <w:t>é</w:t>
          </w:r>
        </w:sdtContent>
      </w:sdt>
      <w:r>
        <w:rPr>
          <w:highlight w:val="white"/>
        </w:rPr>
        <w:t xml:space="preserve">rmino de referencia. Adicionalmente el/la consultor (a) deberá presentar cualquier informe adicional que se le solicite en relación con el desarrollo del objeto del contrato. </w:t>
      </w:r>
    </w:p>
    <w:p w14:paraId="30738505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</w:p>
    <w:p w14:paraId="5AC2DBBE" w14:textId="77777777" w:rsidR="006D21DB" w:rsidRPr="001F7BAB" w:rsidRDefault="006D21DB" w:rsidP="006D21DB">
      <w:pPr>
        <w:spacing w:line="276" w:lineRule="auto"/>
        <w:ind w:hanging="2"/>
        <w:jc w:val="both"/>
        <w:rPr>
          <w:highlight w:val="white"/>
        </w:rPr>
      </w:pPr>
      <w:r>
        <w:rPr>
          <w:highlight w:val="white"/>
        </w:rPr>
        <w:t xml:space="preserve">Todos los informes antes relacionados deben </w:t>
      </w:r>
      <w:r w:rsidRPr="001F7BAB">
        <w:rPr>
          <w:highlight w:val="white"/>
        </w:rPr>
        <w:t xml:space="preserve">contar con la aprobación del </w:t>
      </w:r>
      <w:r w:rsidRPr="001F7BAB">
        <w:rPr>
          <w:iCs/>
          <w:highlight w:val="white"/>
        </w:rPr>
        <w:t>Coordinador Adjunto del proyecto, previo informe del Especialista Socioambiental del proyecto.</w:t>
      </w:r>
    </w:p>
    <w:p w14:paraId="0074FA71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  <w:bookmarkStart w:id="14" w:name="_heading=h.tyjcwt" w:colFirst="0" w:colLast="0"/>
      <w:bookmarkEnd w:id="14"/>
    </w:p>
    <w:p w14:paraId="22B8828A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  <w:r>
        <w:rPr>
          <w:highlight w:val="white"/>
        </w:rPr>
        <w:t xml:space="preserve">En caso de terminación anticipada del contrato, es prerrequisito para el pago, la entrega de un informe final al Supervisor del contrato, acompañado de ser necesario de las tareas pendientes y archivos en medio magnético y/o físico. </w:t>
      </w:r>
    </w:p>
    <w:p w14:paraId="1B74B889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</w:p>
    <w:p w14:paraId="67D81AEC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  <w:r>
        <w:rPr>
          <w:highlight w:val="white"/>
        </w:rPr>
        <w:t xml:space="preserve">Si a juicio del Supervisor del Contrato existieran modificaciones, adiciones o aclaraciones que deban hacerse al informe y/o producto establecido como obligación del (la) Consultor (a), éste tendrá que realizarlas, y sólo hasta el momento en que se incluyan y tengan el visto bueno y/o conformidad del </w:t>
      </w:r>
      <w:r w:rsidRPr="001F7BAB">
        <w:rPr>
          <w:iCs/>
          <w:highlight w:val="white"/>
        </w:rPr>
        <w:t>Especialista Socioambiental</w:t>
      </w:r>
      <w:r>
        <w:rPr>
          <w:highlight w:val="white"/>
        </w:rPr>
        <w:t xml:space="preserve"> se considerará entregado en debida forma.</w:t>
      </w:r>
    </w:p>
    <w:p w14:paraId="2563CE67" w14:textId="77777777" w:rsidR="006D21DB" w:rsidRDefault="006D21DB" w:rsidP="006D21DB">
      <w:pPr>
        <w:spacing w:line="276" w:lineRule="auto"/>
        <w:ind w:hanging="2"/>
        <w:jc w:val="both"/>
      </w:pPr>
    </w:p>
    <w:p w14:paraId="00F1FC58" w14:textId="77777777" w:rsidR="006D21DB" w:rsidRDefault="006D21DB" w:rsidP="006D21D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spacing w:line="276" w:lineRule="auto"/>
        <w:ind w:hanging="2"/>
        <w:rPr>
          <w:color w:val="000000"/>
        </w:rPr>
      </w:pPr>
      <w:r>
        <w:rPr>
          <w:b/>
          <w:color w:val="000000"/>
        </w:rPr>
        <w:t>5. CONFIDENCIALIDAD</w:t>
      </w:r>
    </w:p>
    <w:p w14:paraId="5E6A74EA" w14:textId="77777777" w:rsidR="006D21DB" w:rsidRDefault="006D21DB" w:rsidP="006D21DB">
      <w:pPr>
        <w:spacing w:line="276" w:lineRule="auto"/>
        <w:ind w:hanging="2"/>
        <w:jc w:val="both"/>
      </w:pPr>
    </w:p>
    <w:p w14:paraId="351410A6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  <w:r>
        <w:rPr>
          <w:highlight w:val="white"/>
        </w:rPr>
        <w:t xml:space="preserve">Toda información obtenida por el/la Consultor(a), así como sus informes y los </w:t>
      </w:r>
      <w:r>
        <w:rPr>
          <w:highlight w:val="white"/>
        </w:rPr>
        <w:lastRenderedPageBreak/>
        <w:t>documentos que produzca, relacionados con la ejecución de su contrato, deberá ser considerada confidencial, no pudiendo ser divulgados sin autorización expresa por escrito del PROCIENCIA.</w:t>
      </w:r>
    </w:p>
    <w:p w14:paraId="5DCF74DD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</w:rPr>
      </w:pPr>
    </w:p>
    <w:p w14:paraId="7AC323D7" w14:textId="77777777" w:rsidR="006D21DB" w:rsidRDefault="006D21DB" w:rsidP="006D2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>
        <w:rPr>
          <w:b/>
        </w:rPr>
        <w:t>6. DURACIÓN</w:t>
      </w:r>
    </w:p>
    <w:p w14:paraId="2B42DBFA" w14:textId="77777777" w:rsidR="006D21DB" w:rsidRDefault="006D21DB" w:rsidP="006D21DB">
      <w:pPr>
        <w:spacing w:line="276" w:lineRule="auto"/>
        <w:ind w:hanging="2"/>
        <w:jc w:val="center"/>
      </w:pPr>
      <w:bookmarkStart w:id="15" w:name="_heading=h.3dy6vkm" w:colFirst="0" w:colLast="0"/>
      <w:bookmarkEnd w:id="15"/>
    </w:p>
    <w:p w14:paraId="3EFDDCD0" w14:textId="77777777" w:rsidR="006D21DB" w:rsidRPr="00240436" w:rsidRDefault="006D21DB" w:rsidP="006D21DB">
      <w:pPr>
        <w:spacing w:line="276" w:lineRule="auto"/>
        <w:ind w:hanging="2"/>
        <w:jc w:val="both"/>
        <w:rPr>
          <w:highlight w:val="white"/>
        </w:rPr>
      </w:pPr>
      <w:r w:rsidRPr="00240436">
        <w:rPr>
          <w:highlight w:val="white"/>
        </w:rPr>
        <w:t xml:space="preserve">El servicio tendrá vigencia de </w:t>
      </w:r>
      <w:r>
        <w:rPr>
          <w:highlight w:val="white"/>
        </w:rPr>
        <w:t>doce (12)</w:t>
      </w:r>
      <w:r w:rsidRPr="00240436">
        <w:rPr>
          <w:highlight w:val="white"/>
        </w:rPr>
        <w:t xml:space="preserve"> </w:t>
      </w:r>
      <w:r>
        <w:rPr>
          <w:highlight w:val="white"/>
        </w:rPr>
        <w:t xml:space="preserve">meses </w:t>
      </w:r>
      <w:r w:rsidRPr="00240436">
        <w:rPr>
          <w:highlight w:val="white"/>
        </w:rPr>
        <w:t>contados a partir del día siguiente de suscrito el contrato, por la modalidad de consultoría. El contrato podr</w:t>
      </w:r>
      <w:r>
        <w:rPr>
          <w:highlight w:val="white"/>
        </w:rPr>
        <w:t>í</w:t>
      </w:r>
      <w:r w:rsidRPr="00240436">
        <w:rPr>
          <w:highlight w:val="white"/>
        </w:rPr>
        <w:t>a renovarse según la evaluación de resultados.</w:t>
      </w:r>
    </w:p>
    <w:p w14:paraId="2C0CECFB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</w:p>
    <w:p w14:paraId="06EC35B9" w14:textId="77777777" w:rsidR="006D21DB" w:rsidRDefault="006D21DB" w:rsidP="006D2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>
        <w:rPr>
          <w:b/>
        </w:rPr>
        <w:t>7. PERFIL MÍNIMO</w:t>
      </w:r>
    </w:p>
    <w:p w14:paraId="2ED5BA32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  <w:bookmarkStart w:id="16" w:name="_heading=h.4d34og8" w:colFirst="0" w:colLast="0"/>
      <w:bookmarkEnd w:id="16"/>
    </w:p>
    <w:p w14:paraId="5854EEA6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>
        <w:rPr>
          <w:b/>
          <w:color w:val="000000"/>
        </w:rPr>
        <w:t>FORMACIÓN ACAD</w:t>
      </w:r>
      <w:sdt>
        <w:sdtPr>
          <w:tag w:val="goog_rdk_16"/>
          <w:id w:val="481516592"/>
        </w:sdtPr>
        <w:sdtContent>
          <w:r>
            <w:rPr>
              <w:b/>
              <w:color w:val="000000"/>
            </w:rPr>
            <w:t>É</w:t>
          </w:r>
        </w:sdtContent>
      </w:sdt>
      <w:r>
        <w:rPr>
          <w:b/>
          <w:color w:val="000000"/>
        </w:rPr>
        <w:t>MICA:</w:t>
      </w:r>
    </w:p>
    <w:p w14:paraId="4D543204" w14:textId="77777777" w:rsidR="006D21DB" w:rsidRDefault="006D21DB" w:rsidP="006D21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/>
        <w:autoSpaceDN/>
        <w:spacing w:line="276" w:lineRule="auto"/>
        <w:ind w:left="426" w:hanging="284"/>
        <w:jc w:val="both"/>
        <w:textDirection w:val="btLr"/>
        <w:textAlignment w:val="top"/>
        <w:outlineLvl w:val="0"/>
        <w:rPr>
          <w:color w:val="000000"/>
          <w:highlight w:val="white"/>
        </w:rPr>
      </w:pPr>
      <w:r w:rsidRPr="009349E0">
        <w:rPr>
          <w:highlight w:val="white"/>
        </w:rPr>
        <w:t>Grado</w:t>
      </w:r>
      <w:r>
        <w:rPr>
          <w:highlight w:val="white"/>
        </w:rPr>
        <w:t xml:space="preserve"> mínimo de</w:t>
      </w:r>
      <w:r w:rsidRPr="009349E0">
        <w:rPr>
          <w:highlight w:val="white"/>
        </w:rPr>
        <w:t xml:space="preserve"> Bachiller</w:t>
      </w:r>
      <w:r>
        <w:rPr>
          <w:highlight w:val="white"/>
        </w:rPr>
        <w:t xml:space="preserve"> </w:t>
      </w:r>
      <w:r w:rsidRPr="009349E0">
        <w:rPr>
          <w:highlight w:val="white"/>
        </w:rPr>
        <w:t xml:space="preserve">en Ciencias </w:t>
      </w:r>
      <w:r>
        <w:rPr>
          <w:highlight w:val="white"/>
        </w:rPr>
        <w:t>S</w:t>
      </w:r>
      <w:r w:rsidRPr="009349E0">
        <w:rPr>
          <w:highlight w:val="white"/>
        </w:rPr>
        <w:t>ociales,</w:t>
      </w:r>
      <w:r>
        <w:rPr>
          <w:highlight w:val="white"/>
        </w:rPr>
        <w:t xml:space="preserve"> Ciencias Políticas, Humanidades,</w:t>
      </w:r>
      <w:r w:rsidRPr="009349E0">
        <w:rPr>
          <w:highlight w:val="white"/>
        </w:rPr>
        <w:t xml:space="preserve"> </w:t>
      </w:r>
      <w:r>
        <w:rPr>
          <w:highlight w:val="white"/>
        </w:rPr>
        <w:t xml:space="preserve">Antropología, </w:t>
      </w:r>
      <w:r w:rsidRPr="009349E0">
        <w:rPr>
          <w:highlight w:val="white"/>
        </w:rPr>
        <w:t>Sociología,</w:t>
      </w:r>
      <w:r>
        <w:rPr>
          <w:highlight w:val="white"/>
        </w:rPr>
        <w:t xml:space="preserve"> Psicología </w:t>
      </w:r>
      <w:r w:rsidRPr="009349E0">
        <w:rPr>
          <w:highlight w:val="white"/>
        </w:rPr>
        <w:t>y/o afines</w:t>
      </w:r>
      <w:r>
        <w:t>.</w:t>
      </w:r>
    </w:p>
    <w:p w14:paraId="320FA9E2" w14:textId="77777777" w:rsidR="006D21DB" w:rsidRPr="001D6C58" w:rsidRDefault="006D21DB" w:rsidP="006D21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/>
        <w:autoSpaceDN/>
        <w:spacing w:line="276" w:lineRule="auto"/>
        <w:ind w:left="426" w:hanging="284"/>
        <w:jc w:val="both"/>
        <w:textDirection w:val="btLr"/>
        <w:textAlignment w:val="top"/>
        <w:outlineLvl w:val="0"/>
        <w:rPr>
          <w:highlight w:val="white"/>
        </w:rPr>
      </w:pPr>
      <w:r w:rsidRPr="00AD21E9">
        <w:rPr>
          <w:highlight w:val="white"/>
        </w:rPr>
        <w:t>Deseable con</w:t>
      </w:r>
      <w:r w:rsidRPr="001D6C58">
        <w:rPr>
          <w:highlight w:val="white"/>
        </w:rPr>
        <w:t xml:space="preserve"> </w:t>
      </w:r>
      <w:r w:rsidRPr="009349E0">
        <w:rPr>
          <w:highlight w:val="white"/>
        </w:rPr>
        <w:t xml:space="preserve">especialización en </w:t>
      </w:r>
      <w:r>
        <w:rPr>
          <w:highlight w:val="white"/>
        </w:rPr>
        <w:t>temas relacionados a</w:t>
      </w:r>
      <w:r w:rsidRPr="009349E0">
        <w:rPr>
          <w:highlight w:val="white"/>
        </w:rPr>
        <w:t xml:space="preserve"> género</w:t>
      </w:r>
      <w:r>
        <w:rPr>
          <w:highlight w:val="white"/>
        </w:rPr>
        <w:t xml:space="preserve"> (Transversalización del enfoque, aplicación en proyectos, programas y políticas, entre otros);</w:t>
      </w:r>
      <w:r w:rsidRPr="009349E0">
        <w:rPr>
          <w:highlight w:val="white"/>
        </w:rPr>
        <w:t xml:space="preserve"> especialización en prevención</w:t>
      </w:r>
      <w:r>
        <w:rPr>
          <w:highlight w:val="white"/>
        </w:rPr>
        <w:t xml:space="preserve"> y resolución</w:t>
      </w:r>
      <w:r w:rsidRPr="009349E0">
        <w:rPr>
          <w:highlight w:val="white"/>
        </w:rPr>
        <w:t xml:space="preserve"> de conflictos y gestión social</w:t>
      </w:r>
      <w:r w:rsidRPr="001D6C58">
        <w:rPr>
          <w:highlight w:val="white"/>
        </w:rPr>
        <w:t xml:space="preserve"> o afines.</w:t>
      </w:r>
    </w:p>
    <w:p w14:paraId="1DF50232" w14:textId="77777777" w:rsidR="006D21DB" w:rsidRPr="001D6C58" w:rsidRDefault="006D21DB" w:rsidP="006D21D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autoSpaceDE/>
        <w:autoSpaceDN/>
        <w:spacing w:line="276" w:lineRule="auto"/>
        <w:ind w:left="426" w:hanging="284"/>
        <w:jc w:val="both"/>
        <w:textDirection w:val="btLr"/>
        <w:textAlignment w:val="top"/>
        <w:outlineLvl w:val="0"/>
        <w:rPr>
          <w:highlight w:val="white"/>
        </w:rPr>
      </w:pPr>
      <w:r w:rsidRPr="007011F6">
        <w:rPr>
          <w:highlight w:val="white"/>
        </w:rPr>
        <w:t>Deseable conocimiento de los Estándares Ambientales y Sociales (EAS) del Banco Mundial.</w:t>
      </w:r>
      <w:r w:rsidRPr="001D6C58">
        <w:rPr>
          <w:highlight w:val="white"/>
        </w:rPr>
        <w:t xml:space="preserve"> </w:t>
      </w:r>
    </w:p>
    <w:p w14:paraId="5B61E964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</w:p>
    <w:p w14:paraId="56438821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EXPERIENCIA:</w:t>
      </w:r>
    </w:p>
    <w:p w14:paraId="77CA3BEB" w14:textId="77777777" w:rsidR="006D21DB" w:rsidRDefault="006D21DB" w:rsidP="006D21D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hanging="2"/>
        <w:jc w:val="both"/>
        <w:rPr>
          <w:color w:val="000000"/>
        </w:rPr>
      </w:pPr>
    </w:p>
    <w:p w14:paraId="24698FB9" w14:textId="77777777" w:rsidR="006D21DB" w:rsidRPr="007011F6" w:rsidRDefault="006D21DB" w:rsidP="006D21DB">
      <w:pPr>
        <w:pStyle w:val="Default"/>
        <w:spacing w:line="276" w:lineRule="auto"/>
        <w:ind w:left="0" w:firstLineChars="0" w:hanging="2"/>
        <w:jc w:val="both"/>
        <w:rPr>
          <w:rFonts w:eastAsia="Arial"/>
          <w:color w:val="auto"/>
          <w:sz w:val="22"/>
          <w:szCs w:val="22"/>
          <w:highlight w:val="white"/>
          <w:lang w:val="es-ES" w:eastAsia="es-MX"/>
        </w:rPr>
      </w:pPr>
      <w:r w:rsidRPr="007011F6">
        <w:rPr>
          <w:rFonts w:eastAsia="Arial"/>
          <w:color w:val="auto"/>
          <w:sz w:val="22"/>
          <w:szCs w:val="22"/>
          <w:highlight w:val="white"/>
          <w:lang w:val="es-ES" w:eastAsia="es-MX"/>
        </w:rPr>
        <w:t>Experiencia general laboral acreditada no menor a cinco (5) años en entidades públicas y/o privadas y/u organismos internacionales de promoción y financiamiento, vinculados a su especialidad.</w:t>
      </w:r>
    </w:p>
    <w:p w14:paraId="00BB6EAC" w14:textId="77777777" w:rsidR="006D21DB" w:rsidRDefault="006D21DB" w:rsidP="006D21DB">
      <w:pPr>
        <w:adjustRightInd w:val="0"/>
        <w:spacing w:line="276" w:lineRule="auto"/>
        <w:ind w:hanging="2"/>
        <w:rPr>
          <w:highlight w:val="white"/>
        </w:rPr>
      </w:pPr>
    </w:p>
    <w:p w14:paraId="31917462" w14:textId="77777777" w:rsidR="006D21DB" w:rsidRPr="007011F6" w:rsidRDefault="006D21DB" w:rsidP="006D21DB">
      <w:pPr>
        <w:adjustRightInd w:val="0"/>
        <w:spacing w:line="276" w:lineRule="auto"/>
        <w:ind w:hanging="2"/>
        <w:jc w:val="both"/>
        <w:rPr>
          <w:highlight w:val="white"/>
        </w:rPr>
      </w:pPr>
      <w:r w:rsidRPr="006F08D5">
        <w:rPr>
          <w:highlight w:val="white"/>
        </w:rPr>
        <w:t>Experien</w:t>
      </w:r>
      <w:r>
        <w:rPr>
          <w:highlight w:val="white"/>
        </w:rPr>
        <w:t>cia específica mínima de tres (3</w:t>
      </w:r>
      <w:r w:rsidRPr="006F08D5">
        <w:rPr>
          <w:highlight w:val="white"/>
        </w:rPr>
        <w:t xml:space="preserve">) años en gestión </w:t>
      </w:r>
      <w:r>
        <w:rPr>
          <w:highlight w:val="white"/>
        </w:rPr>
        <w:t xml:space="preserve">social, responsabilidad social, seguridad y medio ambiente, prevención y resolución de conflictos </w:t>
      </w:r>
      <w:r w:rsidRPr="006F08D5">
        <w:rPr>
          <w:highlight w:val="white"/>
        </w:rPr>
        <w:t xml:space="preserve">en </w:t>
      </w:r>
      <w:r w:rsidRPr="007011F6">
        <w:rPr>
          <w:highlight w:val="white"/>
        </w:rPr>
        <w:t>entidades públicas, privadas y/u organismos internacionales y/o programas o proyectos cofinanciados por fuentes de cooperación internacional.</w:t>
      </w:r>
    </w:p>
    <w:p w14:paraId="342A9A69" w14:textId="77777777" w:rsidR="006D21DB" w:rsidRPr="007011F6" w:rsidRDefault="006D21DB" w:rsidP="006D21DB">
      <w:pPr>
        <w:adjustRightInd w:val="0"/>
        <w:spacing w:line="276" w:lineRule="auto"/>
        <w:ind w:hanging="2"/>
        <w:jc w:val="both"/>
        <w:rPr>
          <w:highlight w:val="white"/>
        </w:rPr>
      </w:pPr>
    </w:p>
    <w:p w14:paraId="61728612" w14:textId="77777777" w:rsidR="006D21DB" w:rsidRPr="007011F6" w:rsidRDefault="006D21DB" w:rsidP="006D21DB">
      <w:pPr>
        <w:adjustRightInd w:val="0"/>
        <w:spacing w:line="276" w:lineRule="auto"/>
        <w:ind w:hanging="2"/>
        <w:jc w:val="both"/>
        <w:rPr>
          <w:highlight w:val="white"/>
        </w:rPr>
      </w:pPr>
      <w:r w:rsidRPr="006F08D5">
        <w:rPr>
          <w:highlight w:val="white"/>
        </w:rPr>
        <w:t>Experien</w:t>
      </w:r>
      <w:r>
        <w:rPr>
          <w:highlight w:val="white"/>
        </w:rPr>
        <w:t>cia específica mínima de un (1</w:t>
      </w:r>
      <w:r w:rsidRPr="006F08D5">
        <w:rPr>
          <w:highlight w:val="white"/>
        </w:rPr>
        <w:t xml:space="preserve">) año en </w:t>
      </w:r>
      <w:r>
        <w:rPr>
          <w:highlight w:val="white"/>
        </w:rPr>
        <w:t>igualdad de género e</w:t>
      </w:r>
      <w:r w:rsidRPr="007011F6">
        <w:rPr>
          <w:highlight w:val="white"/>
        </w:rPr>
        <w:t>xperiencia demostrada desarrollando e implementando diagnósticos, evaluaciones, planes de acción, herramientas y capacitaciones relacionados a equidad de género e inclusión social en entidades públicas, privadas y/u organismos internacionales y/o programas o proyectos cofinanciados por fuentes de cooperación internacional.</w:t>
      </w:r>
    </w:p>
    <w:p w14:paraId="018E5385" w14:textId="77777777" w:rsidR="006D21DB" w:rsidRDefault="006D21DB" w:rsidP="006D21DB">
      <w:pPr>
        <w:spacing w:line="276" w:lineRule="auto"/>
        <w:ind w:hanging="2"/>
        <w:jc w:val="both"/>
      </w:pPr>
    </w:p>
    <w:p w14:paraId="4C26D18F" w14:textId="77777777" w:rsidR="006D21DB" w:rsidRDefault="006D21DB" w:rsidP="006D2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>
        <w:rPr>
          <w:b/>
        </w:rPr>
        <w:t>8. SUPERVISOR</w:t>
      </w:r>
    </w:p>
    <w:p w14:paraId="0842364B" w14:textId="77777777" w:rsidR="006D21DB" w:rsidRDefault="006D21DB" w:rsidP="006D21DB">
      <w:pPr>
        <w:spacing w:line="276" w:lineRule="auto"/>
        <w:ind w:hanging="2"/>
        <w:jc w:val="both"/>
      </w:pPr>
    </w:p>
    <w:p w14:paraId="6F2983EE" w14:textId="77777777" w:rsidR="006D21DB" w:rsidRPr="00832EB9" w:rsidRDefault="006D21DB" w:rsidP="006D21DB">
      <w:pPr>
        <w:spacing w:line="276" w:lineRule="auto"/>
        <w:ind w:hanging="2"/>
        <w:jc w:val="both"/>
        <w:rPr>
          <w:highlight w:val="white"/>
        </w:rPr>
      </w:pPr>
      <w:r>
        <w:rPr>
          <w:highlight w:val="white"/>
        </w:rPr>
        <w:t>La supervisión del servicio estará a cargo del</w:t>
      </w:r>
      <w:r w:rsidRPr="00832EB9">
        <w:rPr>
          <w:highlight w:val="white"/>
        </w:rPr>
        <w:t xml:space="preserve"> Coordinador </w:t>
      </w:r>
      <w:r>
        <w:rPr>
          <w:highlight w:val="white"/>
        </w:rPr>
        <w:t>A</w:t>
      </w:r>
      <w:r w:rsidRPr="00832EB9">
        <w:rPr>
          <w:highlight w:val="white"/>
        </w:rPr>
        <w:t xml:space="preserve">djunto del proyecto con visto bueno del Especialista </w:t>
      </w:r>
      <w:r>
        <w:rPr>
          <w:highlight w:val="white"/>
        </w:rPr>
        <w:t>Socio ambiental</w:t>
      </w:r>
      <w:r w:rsidRPr="00832EB9">
        <w:rPr>
          <w:highlight w:val="white"/>
        </w:rPr>
        <w:t>.</w:t>
      </w:r>
    </w:p>
    <w:p w14:paraId="5D3FA105" w14:textId="77777777" w:rsidR="006D21DB" w:rsidRDefault="006D21DB" w:rsidP="006D21DB">
      <w:pPr>
        <w:spacing w:line="276" w:lineRule="auto"/>
        <w:ind w:hanging="2"/>
      </w:pPr>
    </w:p>
    <w:p w14:paraId="6D112FC1" w14:textId="77777777" w:rsidR="006D21DB" w:rsidRDefault="006D21DB" w:rsidP="006D2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bookmarkStart w:id="17" w:name="_Hlk122250779"/>
      <w:bookmarkStart w:id="18" w:name="_Hlk122250633"/>
      <w:r>
        <w:rPr>
          <w:b/>
        </w:rPr>
        <w:t>9. CRITERIOS DE SELECCIÓN</w:t>
      </w:r>
    </w:p>
    <w:p w14:paraId="4761F161" w14:textId="77777777" w:rsidR="006D21DB" w:rsidRDefault="006D21DB" w:rsidP="006D21DB">
      <w:pPr>
        <w:spacing w:line="276" w:lineRule="auto"/>
        <w:ind w:hanging="2"/>
        <w:jc w:val="both"/>
        <w:rPr>
          <w:b/>
        </w:rPr>
      </w:pPr>
    </w:p>
    <w:p w14:paraId="1375F03B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  <w:r>
        <w:rPr>
          <w:highlight w:val="white"/>
        </w:rPr>
        <w:t xml:space="preserve">Con los candidatos que cumplan el PERFIL MÍNIMO REQUERIDO, se realizará la comparación y evaluación de las hojas de vidas, de acuerdo con los siguientes criterios </w:t>
      </w:r>
      <w:r>
        <w:rPr>
          <w:highlight w:val="white"/>
        </w:rPr>
        <w:lastRenderedPageBreak/>
        <w:t>de selección:</w:t>
      </w:r>
    </w:p>
    <w:p w14:paraId="2E8DC0AE" w14:textId="77777777" w:rsidR="006D21DB" w:rsidRDefault="006D21DB" w:rsidP="006D21DB">
      <w:pPr>
        <w:spacing w:line="276" w:lineRule="auto"/>
        <w:ind w:hanging="2"/>
        <w:jc w:val="both"/>
        <w:rPr>
          <w:highlight w:val="white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126"/>
        <w:gridCol w:w="1280"/>
        <w:gridCol w:w="1276"/>
      </w:tblGrid>
      <w:tr w:rsidR="006D21DB" w:rsidRPr="005E6D83" w14:paraId="41756C99" w14:textId="77777777" w:rsidTr="00632B8E">
        <w:trPr>
          <w:trHeight w:val="441"/>
        </w:trPr>
        <w:tc>
          <w:tcPr>
            <w:tcW w:w="3823" w:type="dxa"/>
            <w:vAlign w:val="center"/>
          </w:tcPr>
          <w:p w14:paraId="0F25A45D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b/>
                <w:color w:val="000000"/>
                <w:sz w:val="20"/>
                <w:szCs w:val="20"/>
              </w:rPr>
              <w:t>Criterios de Selección</w:t>
            </w:r>
          </w:p>
        </w:tc>
        <w:tc>
          <w:tcPr>
            <w:tcW w:w="2126" w:type="dxa"/>
            <w:vAlign w:val="center"/>
          </w:tcPr>
          <w:p w14:paraId="321F2C66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b/>
                <w:color w:val="000000"/>
                <w:sz w:val="20"/>
                <w:szCs w:val="20"/>
              </w:rPr>
              <w:t>Criterio de evaluación</w:t>
            </w:r>
          </w:p>
        </w:tc>
        <w:tc>
          <w:tcPr>
            <w:tcW w:w="1276" w:type="dxa"/>
            <w:vAlign w:val="center"/>
          </w:tcPr>
          <w:p w14:paraId="70F709C3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b/>
                <w:color w:val="000000"/>
                <w:sz w:val="20"/>
                <w:szCs w:val="20"/>
              </w:rPr>
              <w:t>Puntaje</w:t>
            </w:r>
          </w:p>
          <w:p w14:paraId="503E6D55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b/>
                <w:color w:val="000000"/>
                <w:sz w:val="20"/>
                <w:szCs w:val="20"/>
              </w:rPr>
              <w:t>máximo</w:t>
            </w:r>
          </w:p>
        </w:tc>
        <w:tc>
          <w:tcPr>
            <w:tcW w:w="1276" w:type="dxa"/>
          </w:tcPr>
          <w:p w14:paraId="05F53A83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5E6D83">
              <w:rPr>
                <w:b/>
                <w:color w:val="000000"/>
                <w:sz w:val="20"/>
                <w:szCs w:val="20"/>
              </w:rPr>
              <w:t xml:space="preserve">Puntaje </w:t>
            </w:r>
          </w:p>
          <w:p w14:paraId="2BD264E5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5E6D83"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D21DB" w:rsidRPr="005E6D83" w14:paraId="7D471DCF" w14:textId="77777777" w:rsidTr="00632B8E">
        <w:trPr>
          <w:trHeight w:val="988"/>
        </w:trPr>
        <w:tc>
          <w:tcPr>
            <w:tcW w:w="3823" w:type="dxa"/>
            <w:vMerge w:val="restart"/>
            <w:vAlign w:val="center"/>
          </w:tcPr>
          <w:p w14:paraId="50D40764" w14:textId="77777777" w:rsidR="006D21DB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17242C">
              <w:rPr>
                <w:sz w:val="20"/>
                <w:szCs w:val="20"/>
                <w:highlight w:val="white"/>
              </w:rPr>
              <w:t>Experiencia general laboral mínima de cinco (</w:t>
            </w:r>
            <w:r>
              <w:rPr>
                <w:sz w:val="20"/>
                <w:szCs w:val="20"/>
                <w:highlight w:val="white"/>
              </w:rPr>
              <w:t>5</w:t>
            </w:r>
            <w:r w:rsidRPr="0017242C">
              <w:rPr>
                <w:sz w:val="20"/>
                <w:szCs w:val="20"/>
                <w:highlight w:val="white"/>
              </w:rPr>
              <w:t>) años laborando en Área de Seguridad y medio ambiente y responsabilidad social en el sector público y/o privado de diferentes sectores de producción a nivel nacional, en gestión social, prevención de conflictos sociales, igualdad de género</w:t>
            </w:r>
            <w:r>
              <w:rPr>
                <w:sz w:val="20"/>
                <w:szCs w:val="20"/>
              </w:rPr>
              <w:t>.</w:t>
            </w:r>
          </w:p>
          <w:p w14:paraId="712C710D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>e califica</w:t>
            </w:r>
            <w:r>
              <w:rPr>
                <w:rFonts w:eastAsia="Calibri"/>
                <w:color w:val="000000"/>
                <w:sz w:val="20"/>
                <w:szCs w:val="20"/>
              </w:rPr>
              <w:t>rá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aquella 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>experiencia adicional a la mínima requerida en el perfil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50F9E4E0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 01 a 03 </w:t>
            </w:r>
            <w:r w:rsidRPr="005E6D83">
              <w:rPr>
                <w:color w:val="000000"/>
                <w:sz w:val="20"/>
                <w:szCs w:val="20"/>
              </w:rPr>
              <w:t>años</w:t>
            </w:r>
            <w:r>
              <w:rPr>
                <w:color w:val="000000"/>
                <w:sz w:val="20"/>
                <w:szCs w:val="20"/>
              </w:rPr>
              <w:t xml:space="preserve"> adicionales</w:t>
            </w:r>
          </w:p>
        </w:tc>
        <w:tc>
          <w:tcPr>
            <w:tcW w:w="1276" w:type="dxa"/>
            <w:vAlign w:val="center"/>
          </w:tcPr>
          <w:p w14:paraId="1DCE479C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14:paraId="0D9DE42C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D21DB" w:rsidRPr="005E6D83" w14:paraId="32B9144D" w14:textId="77777777" w:rsidTr="00632B8E">
        <w:trPr>
          <w:trHeight w:val="988"/>
        </w:trPr>
        <w:tc>
          <w:tcPr>
            <w:tcW w:w="3823" w:type="dxa"/>
            <w:vMerge/>
            <w:vAlign w:val="center"/>
          </w:tcPr>
          <w:p w14:paraId="2C4F8663" w14:textId="77777777" w:rsidR="006D21DB" w:rsidRPr="0017242C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01E344EF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color w:val="000000"/>
                <w:sz w:val="20"/>
                <w:szCs w:val="20"/>
              </w:rPr>
              <w:t>Más de 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E6D83">
              <w:rPr>
                <w:color w:val="000000"/>
                <w:sz w:val="20"/>
                <w:szCs w:val="20"/>
              </w:rPr>
              <w:t xml:space="preserve"> años</w:t>
            </w:r>
            <w:r>
              <w:rPr>
                <w:color w:val="000000"/>
                <w:sz w:val="20"/>
                <w:szCs w:val="20"/>
              </w:rPr>
              <w:t xml:space="preserve"> adicionales</w:t>
            </w:r>
          </w:p>
        </w:tc>
        <w:tc>
          <w:tcPr>
            <w:tcW w:w="1276" w:type="dxa"/>
            <w:vAlign w:val="center"/>
          </w:tcPr>
          <w:p w14:paraId="06D82473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14:paraId="2CFAF5EB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1DB" w:rsidRPr="005E6D83" w14:paraId="6BE76267" w14:textId="77777777" w:rsidTr="00632B8E">
        <w:trPr>
          <w:trHeight w:val="1091"/>
        </w:trPr>
        <w:tc>
          <w:tcPr>
            <w:tcW w:w="3823" w:type="dxa"/>
            <w:vMerge w:val="restart"/>
            <w:vAlign w:val="center"/>
          </w:tcPr>
          <w:p w14:paraId="014C93B3" w14:textId="77777777" w:rsidR="006D21DB" w:rsidRPr="00075C16" w:rsidRDefault="006D21DB" w:rsidP="00632B8E">
            <w:pPr>
              <w:adjustRightInd w:val="0"/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075C16">
              <w:rPr>
                <w:sz w:val="20"/>
                <w:szCs w:val="20"/>
                <w:highlight w:val="white"/>
              </w:rPr>
              <w:t>Experiencia específica mínima de tres (3) años en gestión social, responsabilidad social, seguridad y medio ambiente, prevención y resolución de conflictos en entidades públicas, privadas y/u organismos internacionales y/o programas o proyectos cofinanciados por fuentes de cooperación internacional.</w:t>
            </w:r>
          </w:p>
          <w:p w14:paraId="71CADAF5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ind w:right="87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>e califica</w:t>
            </w:r>
            <w:r>
              <w:rPr>
                <w:rFonts w:eastAsia="Calibri"/>
                <w:color w:val="000000"/>
                <w:sz w:val="20"/>
                <w:szCs w:val="20"/>
              </w:rPr>
              <w:t>rá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aquella 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>experiencia adicional a la mínima requerida en el perfil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0E3ECF8C" w14:textId="77777777" w:rsidR="006D21DB" w:rsidRPr="001A6EA4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ind w:right="8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  <w:r w:rsidRPr="001A6EA4">
              <w:rPr>
                <w:color w:val="000000"/>
                <w:sz w:val="20"/>
                <w:szCs w:val="20"/>
              </w:rPr>
              <w:t xml:space="preserve"> 01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A6E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A6EA4">
              <w:rPr>
                <w:color w:val="000000"/>
                <w:sz w:val="20"/>
                <w:szCs w:val="20"/>
              </w:rPr>
              <w:t>2 años</w:t>
            </w:r>
            <w:r>
              <w:rPr>
                <w:color w:val="000000"/>
                <w:sz w:val="20"/>
                <w:szCs w:val="20"/>
              </w:rPr>
              <w:t xml:space="preserve"> adicionales</w:t>
            </w:r>
          </w:p>
        </w:tc>
        <w:tc>
          <w:tcPr>
            <w:tcW w:w="1276" w:type="dxa"/>
            <w:vAlign w:val="center"/>
          </w:tcPr>
          <w:p w14:paraId="1AACEFB9" w14:textId="77777777" w:rsidR="006D21DB" w:rsidRPr="001A6EA4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A6E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77755915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6D21DB" w:rsidRPr="005E6D83" w14:paraId="2A570C45" w14:textId="77777777" w:rsidTr="00632B8E">
        <w:trPr>
          <w:trHeight w:val="1092"/>
        </w:trPr>
        <w:tc>
          <w:tcPr>
            <w:tcW w:w="3823" w:type="dxa"/>
            <w:vMerge/>
            <w:vAlign w:val="center"/>
          </w:tcPr>
          <w:p w14:paraId="26B6F94A" w14:textId="77777777" w:rsidR="006D21DB" w:rsidRPr="0017242C" w:rsidRDefault="006D21DB" w:rsidP="00632B8E">
            <w:pPr>
              <w:adjustRightInd w:val="0"/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vAlign w:val="center"/>
          </w:tcPr>
          <w:p w14:paraId="548646B3" w14:textId="77777777" w:rsidR="006D21DB" w:rsidRPr="001A6EA4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ind w:right="87" w:hanging="2"/>
              <w:jc w:val="center"/>
              <w:rPr>
                <w:color w:val="000000"/>
                <w:sz w:val="20"/>
                <w:szCs w:val="20"/>
              </w:rPr>
            </w:pPr>
            <w:r w:rsidRPr="001A6EA4">
              <w:rPr>
                <w:color w:val="000000"/>
                <w:sz w:val="20"/>
                <w:szCs w:val="20"/>
              </w:rPr>
              <w:t>Más de 02 años</w:t>
            </w:r>
            <w:r>
              <w:rPr>
                <w:color w:val="000000"/>
                <w:sz w:val="20"/>
                <w:szCs w:val="20"/>
              </w:rPr>
              <w:t xml:space="preserve"> adicionales</w:t>
            </w:r>
          </w:p>
        </w:tc>
        <w:tc>
          <w:tcPr>
            <w:tcW w:w="1276" w:type="dxa"/>
            <w:vAlign w:val="center"/>
          </w:tcPr>
          <w:p w14:paraId="3E53316C" w14:textId="77777777" w:rsidR="006D21DB" w:rsidRPr="001A6EA4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14:paraId="189BC165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1DB" w:rsidRPr="005E6D83" w14:paraId="1D622B31" w14:textId="77777777" w:rsidTr="00632B8E">
        <w:trPr>
          <w:cantSplit/>
          <w:trHeight w:val="1338"/>
        </w:trPr>
        <w:tc>
          <w:tcPr>
            <w:tcW w:w="3823" w:type="dxa"/>
            <w:vMerge w:val="restart"/>
            <w:vAlign w:val="center"/>
          </w:tcPr>
          <w:p w14:paraId="687E7EF7" w14:textId="77777777" w:rsidR="006D21DB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075C16">
              <w:rPr>
                <w:sz w:val="20"/>
                <w:szCs w:val="20"/>
                <w:highlight w:val="white"/>
              </w:rPr>
              <w:t>Experiencia específica mínima de un (1) año en igualdad de género experiencia demostrada desarrollando e implementando diagnósticos, evaluaciones, planes de acción, herramientas y capacitaciones relacionados a equidad de género e inclusión social en entidades públicas, privadas y/u organismos internacionales y/o programas o proyectos cofinanciados por fuentes de cooperación internacional.</w:t>
            </w:r>
          </w:p>
          <w:p w14:paraId="57D9CA02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>e califica</w:t>
            </w:r>
            <w:r>
              <w:rPr>
                <w:rFonts w:eastAsia="Calibri"/>
                <w:color w:val="000000"/>
                <w:sz w:val="20"/>
                <w:szCs w:val="20"/>
              </w:rPr>
              <w:t>rá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aquella </w:t>
            </w:r>
            <w:r w:rsidRPr="00B637C2">
              <w:rPr>
                <w:rFonts w:eastAsia="Calibri"/>
                <w:color w:val="000000"/>
                <w:sz w:val="20"/>
                <w:szCs w:val="20"/>
              </w:rPr>
              <w:t>experiencia adicional a la mínima requerida en el perfil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5927875E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color w:val="000000"/>
                <w:sz w:val="20"/>
                <w:szCs w:val="20"/>
              </w:rPr>
              <w:t>Hasta 01 año</w:t>
            </w:r>
            <w:r>
              <w:rPr>
                <w:color w:val="000000"/>
                <w:sz w:val="20"/>
                <w:szCs w:val="20"/>
              </w:rPr>
              <w:t xml:space="preserve"> adicional </w:t>
            </w:r>
          </w:p>
        </w:tc>
        <w:tc>
          <w:tcPr>
            <w:tcW w:w="1276" w:type="dxa"/>
            <w:vAlign w:val="center"/>
          </w:tcPr>
          <w:p w14:paraId="5C80F66A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14:paraId="5A7A3578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D21DB" w:rsidRPr="005E6D83" w14:paraId="5EBCA2D9" w14:textId="77777777" w:rsidTr="00632B8E">
        <w:trPr>
          <w:cantSplit/>
          <w:trHeight w:val="1338"/>
        </w:trPr>
        <w:tc>
          <w:tcPr>
            <w:tcW w:w="3823" w:type="dxa"/>
            <w:vMerge/>
            <w:vAlign w:val="center"/>
          </w:tcPr>
          <w:p w14:paraId="5A1FAE2C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69B0BE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 de 01 año adicional</w:t>
            </w:r>
          </w:p>
        </w:tc>
        <w:tc>
          <w:tcPr>
            <w:tcW w:w="1276" w:type="dxa"/>
            <w:vAlign w:val="center"/>
          </w:tcPr>
          <w:p w14:paraId="4DAE2BEF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14:paraId="2DD85188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D21DB" w:rsidRPr="00B637C2" w14:paraId="45C42E3B" w14:textId="77777777" w:rsidTr="00632B8E">
        <w:trPr>
          <w:trHeight w:val="246"/>
        </w:trPr>
        <w:tc>
          <w:tcPr>
            <w:tcW w:w="7229" w:type="dxa"/>
            <w:gridSpan w:val="3"/>
            <w:vAlign w:val="center"/>
          </w:tcPr>
          <w:p w14:paraId="05C053E0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color w:val="000000"/>
                <w:sz w:val="20"/>
                <w:szCs w:val="20"/>
              </w:rPr>
            </w:pPr>
            <w:r w:rsidRPr="005E6D83">
              <w:rPr>
                <w:b/>
                <w:color w:val="000000"/>
                <w:sz w:val="20"/>
                <w:szCs w:val="20"/>
              </w:rPr>
              <w:t>PUNTAJE TOTAL</w:t>
            </w:r>
          </w:p>
        </w:tc>
        <w:tc>
          <w:tcPr>
            <w:tcW w:w="1276" w:type="dxa"/>
          </w:tcPr>
          <w:p w14:paraId="3E5E6136" w14:textId="77777777" w:rsidR="006D21DB" w:rsidRPr="005E6D83" w:rsidRDefault="006D21DB" w:rsidP="0063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5E6D8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bookmarkEnd w:id="17"/>
      <w:bookmarkEnd w:id="18"/>
    </w:tbl>
    <w:p w14:paraId="122E7091" w14:textId="77777777" w:rsidR="006D21DB" w:rsidRDefault="006D21DB" w:rsidP="006D21DB">
      <w:pPr>
        <w:ind w:hanging="2"/>
        <w:jc w:val="both"/>
      </w:pPr>
    </w:p>
    <w:sectPr w:rsidR="006D21DB" w:rsidSect="00F94155">
      <w:headerReference w:type="default" r:id="rId9"/>
      <w:footerReference w:type="default" r:id="rId10"/>
      <w:type w:val="continuous"/>
      <w:pgSz w:w="11910" w:h="16840"/>
      <w:pgMar w:top="1417" w:right="1701" w:bottom="1417" w:left="1701" w:header="616" w:footer="9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C868" w14:textId="77777777" w:rsidR="000871D3" w:rsidRDefault="000871D3">
      <w:r>
        <w:separator/>
      </w:r>
    </w:p>
  </w:endnote>
  <w:endnote w:type="continuationSeparator" w:id="0">
    <w:p w14:paraId="05CF543E" w14:textId="77777777" w:rsidR="000871D3" w:rsidRDefault="0008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DA03" w14:textId="4801BE88" w:rsidR="007D51B1" w:rsidRDefault="00C774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BE147C" wp14:editId="3FBCC5EC">
              <wp:simplePos x="0" y="0"/>
              <wp:positionH relativeFrom="page">
                <wp:posOffset>6386830</wp:posOffset>
              </wp:positionH>
              <wp:positionV relativeFrom="page">
                <wp:posOffset>9946640</wp:posOffset>
              </wp:positionV>
              <wp:extent cx="133350" cy="1397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A3AC" w14:textId="77777777" w:rsidR="007D51B1" w:rsidRDefault="00153AC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E1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2.9pt;margin-top:783.2pt;width:10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" filled="f" stroked="f">
              <v:textbox inset="0,0,0,0">
                <w:txbxContent>
                  <w:p w14:paraId="6424A3AC" w14:textId="77777777" w:rsidR="007D51B1" w:rsidRDefault="00153AC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0D69" w14:textId="77777777" w:rsidR="000871D3" w:rsidRDefault="000871D3">
      <w:r>
        <w:separator/>
      </w:r>
    </w:p>
  </w:footnote>
  <w:footnote w:type="continuationSeparator" w:id="0">
    <w:p w14:paraId="5C98FBA8" w14:textId="77777777" w:rsidR="000871D3" w:rsidRDefault="0008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5A7" w14:textId="77777777" w:rsidR="007D51B1" w:rsidRDefault="00153AC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1926291" wp14:editId="57DC1929">
          <wp:simplePos x="0" y="0"/>
          <wp:positionH relativeFrom="page">
            <wp:posOffset>1121798</wp:posOffset>
          </wp:positionH>
          <wp:positionV relativeFrom="page">
            <wp:posOffset>391193</wp:posOffset>
          </wp:positionV>
          <wp:extent cx="5230860" cy="501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2414538B"/>
    <w:multiLevelType w:val="hybridMultilevel"/>
    <w:tmpl w:val="A822BE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2CE"/>
    <w:multiLevelType w:val="hybridMultilevel"/>
    <w:tmpl w:val="4E7E8A44"/>
    <w:lvl w:ilvl="0" w:tplc="F8BE2CFC">
      <w:start w:val="1"/>
      <w:numFmt w:val="lowerLetter"/>
      <w:lvlText w:val="%1)"/>
      <w:lvlJc w:val="left"/>
      <w:pPr>
        <w:ind w:left="718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82E3877"/>
    <w:multiLevelType w:val="hybridMultilevel"/>
    <w:tmpl w:val="C76E438E"/>
    <w:lvl w:ilvl="0" w:tplc="339429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EE85C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A328C3D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933CE78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082F2E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D4EEC4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FBD480E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6FCEC94A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BEF425A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4667BD5"/>
    <w:multiLevelType w:val="hybridMultilevel"/>
    <w:tmpl w:val="3A844F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3C44"/>
    <w:multiLevelType w:val="multilevel"/>
    <w:tmpl w:val="5D225B88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CDA4177"/>
    <w:multiLevelType w:val="hybridMultilevel"/>
    <w:tmpl w:val="698818FC"/>
    <w:lvl w:ilvl="0" w:tplc="EFB6B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D24B3"/>
    <w:multiLevelType w:val="hybridMultilevel"/>
    <w:tmpl w:val="1FC2C790"/>
    <w:lvl w:ilvl="0" w:tplc="8E02458C">
      <w:start w:val="1"/>
      <w:numFmt w:val="lowerLetter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9A82B5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48E6F6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4DA091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8E04FD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AE01AC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DDCFE9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9B1E57A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111E2DB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D587061"/>
    <w:multiLevelType w:val="hybridMultilevel"/>
    <w:tmpl w:val="DCC89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01317"/>
    <w:multiLevelType w:val="hybridMultilevel"/>
    <w:tmpl w:val="F642C94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8541F"/>
    <w:multiLevelType w:val="multilevel"/>
    <w:tmpl w:val="FF3C5C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A4B3038"/>
    <w:multiLevelType w:val="hybridMultilevel"/>
    <w:tmpl w:val="69AED236"/>
    <w:lvl w:ilvl="0" w:tplc="00FE7B8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6EE3"/>
    <w:multiLevelType w:val="multilevel"/>
    <w:tmpl w:val="DECA98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B351DBB"/>
    <w:multiLevelType w:val="hybridMultilevel"/>
    <w:tmpl w:val="9B3CD0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2135C"/>
    <w:multiLevelType w:val="multilevel"/>
    <w:tmpl w:val="9C96A4FE"/>
    <w:lvl w:ilvl="0">
      <w:numFmt w:val="bullet"/>
      <w:lvlText w:val="•"/>
      <w:lvlJc w:val="left"/>
      <w:pPr>
        <w:ind w:left="360" w:hanging="360"/>
      </w:pPr>
      <w:rPr>
        <w:rFonts w:hint="default"/>
        <w:color w:val="000000"/>
        <w:vertAlign w:val="baseline"/>
        <w:lang w:val="es-ES" w:eastAsia="es-ES" w:bidi="es-E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EB1990"/>
    <w:multiLevelType w:val="multilevel"/>
    <w:tmpl w:val="A4FE2542"/>
    <w:lvl w:ilvl="0">
      <w:numFmt w:val="bullet"/>
      <w:lvlText w:val="•"/>
      <w:lvlJc w:val="left"/>
      <w:pPr>
        <w:ind w:left="720" w:hanging="360"/>
      </w:pPr>
      <w:rPr>
        <w:rFonts w:hint="default"/>
        <w:color w:val="000000"/>
        <w:vertAlign w:val="baseline"/>
        <w:lang w:val="es-ES" w:eastAsia="es-ES" w:bidi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0B5A82"/>
    <w:multiLevelType w:val="hybridMultilevel"/>
    <w:tmpl w:val="FF6C86F8"/>
    <w:lvl w:ilvl="0" w:tplc="2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73137897"/>
    <w:multiLevelType w:val="multilevel"/>
    <w:tmpl w:val="CAAA8286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Arial" w:eastAsia="Arial MT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33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66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8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0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41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033" w:hanging="420"/>
      </w:pPr>
      <w:rPr>
        <w:rFonts w:hint="default"/>
        <w:lang w:val="es-ES" w:eastAsia="en-US" w:bidi="ar-SA"/>
      </w:rPr>
    </w:lvl>
  </w:abstractNum>
  <w:num w:numId="1" w16cid:durableId="2137292385">
    <w:abstractNumId w:val="3"/>
  </w:num>
  <w:num w:numId="2" w16cid:durableId="1849371849">
    <w:abstractNumId w:val="7"/>
  </w:num>
  <w:num w:numId="3" w16cid:durableId="1270046995">
    <w:abstractNumId w:val="5"/>
  </w:num>
  <w:num w:numId="4" w16cid:durableId="1577865040">
    <w:abstractNumId w:val="17"/>
  </w:num>
  <w:num w:numId="5" w16cid:durableId="276762948">
    <w:abstractNumId w:val="0"/>
  </w:num>
  <w:num w:numId="6" w16cid:durableId="1221867006">
    <w:abstractNumId w:val="13"/>
  </w:num>
  <w:num w:numId="7" w16cid:durableId="853806027">
    <w:abstractNumId w:val="1"/>
  </w:num>
  <w:num w:numId="8" w16cid:durableId="1234581049">
    <w:abstractNumId w:val="4"/>
  </w:num>
  <w:num w:numId="9" w16cid:durableId="510416833">
    <w:abstractNumId w:val="6"/>
  </w:num>
  <w:num w:numId="10" w16cid:durableId="1474717146">
    <w:abstractNumId w:val="2"/>
  </w:num>
  <w:num w:numId="11" w16cid:durableId="515310786">
    <w:abstractNumId w:val="8"/>
  </w:num>
  <w:num w:numId="12" w16cid:durableId="1009914196">
    <w:abstractNumId w:val="16"/>
  </w:num>
  <w:num w:numId="13" w16cid:durableId="1143237182">
    <w:abstractNumId w:val="10"/>
  </w:num>
  <w:num w:numId="14" w16cid:durableId="657029842">
    <w:abstractNumId w:val="12"/>
  </w:num>
  <w:num w:numId="15" w16cid:durableId="984771654">
    <w:abstractNumId w:val="14"/>
  </w:num>
  <w:num w:numId="16" w16cid:durableId="454105815">
    <w:abstractNumId w:val="11"/>
  </w:num>
  <w:num w:numId="17" w16cid:durableId="1950618768">
    <w:abstractNumId w:val="9"/>
  </w:num>
  <w:num w:numId="18" w16cid:durableId="2131656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B1"/>
    <w:rsid w:val="000871D3"/>
    <w:rsid w:val="000C19B5"/>
    <w:rsid w:val="000F7EED"/>
    <w:rsid w:val="001058F2"/>
    <w:rsid w:val="00153ACF"/>
    <w:rsid w:val="001944D2"/>
    <w:rsid w:val="00330CBD"/>
    <w:rsid w:val="003B7CF9"/>
    <w:rsid w:val="003C7338"/>
    <w:rsid w:val="004372B6"/>
    <w:rsid w:val="0045476C"/>
    <w:rsid w:val="004D48F6"/>
    <w:rsid w:val="004E63FD"/>
    <w:rsid w:val="005C0223"/>
    <w:rsid w:val="005C6178"/>
    <w:rsid w:val="005D6D42"/>
    <w:rsid w:val="005F35D2"/>
    <w:rsid w:val="0060786A"/>
    <w:rsid w:val="00661C89"/>
    <w:rsid w:val="0068638B"/>
    <w:rsid w:val="006D21DB"/>
    <w:rsid w:val="006F1DDA"/>
    <w:rsid w:val="007D51B1"/>
    <w:rsid w:val="007F62F9"/>
    <w:rsid w:val="007F740E"/>
    <w:rsid w:val="008821B9"/>
    <w:rsid w:val="008A4195"/>
    <w:rsid w:val="009D6D34"/>
    <w:rsid w:val="009E18C1"/>
    <w:rsid w:val="009F4153"/>
    <w:rsid w:val="00A079AF"/>
    <w:rsid w:val="00A30FAF"/>
    <w:rsid w:val="00A516EC"/>
    <w:rsid w:val="00A51952"/>
    <w:rsid w:val="00C77403"/>
    <w:rsid w:val="00DB354A"/>
    <w:rsid w:val="00F26A05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EA6DB"/>
  <w15:docId w15:val="{7A5A4DBF-497B-4D2F-8CF2-B2A6D3C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29" w:hanging="42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9E18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8C1"/>
    <w:rPr>
      <w:color w:val="605E5C"/>
      <w:shd w:val="clear" w:color="auto" w:fill="E1DFDD"/>
    </w:rPr>
  </w:style>
  <w:style w:type="paragraph" w:customStyle="1" w:styleId="Default">
    <w:name w:val="Default"/>
    <w:rsid w:val="006D21DB"/>
    <w:pPr>
      <w:widowControl/>
      <w:suppressAutoHyphens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2410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Santa Cruz Pajuelo</cp:lastModifiedBy>
  <cp:revision>3</cp:revision>
  <dcterms:created xsi:type="dcterms:W3CDTF">2023-04-03T01:59:00Z</dcterms:created>
  <dcterms:modified xsi:type="dcterms:W3CDTF">2023-04-03T02:11:00Z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