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proofErr w:type="spellStart"/>
      <w:r w:rsidRPr="00351976">
        <w:rPr>
          <w:b/>
          <w:bCs/>
        </w:rPr>
        <w:t>N°</w:t>
      </w:r>
      <w:proofErr w:type="spellEnd"/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6F285DD" w14:textId="77777777" w:rsidR="005B742A" w:rsidRPr="005B742A" w:rsidRDefault="003914D9" w:rsidP="005B742A">
      <w:pPr>
        <w:pStyle w:val="Textoindependiente"/>
        <w:ind w:left="1440" w:hanging="1440"/>
        <w:jc w:val="both"/>
        <w:rPr>
          <w:bCs/>
          <w:lang w:val="es-PE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5B742A" w:rsidRPr="005B742A">
        <w:rPr>
          <w:bCs/>
          <w:lang w:val="es-PE"/>
        </w:rPr>
        <w:t>Servicio de apoyo y acompañamiento en el desarrollo de capacidades para el diseño de instrumentos de subvención competitivos</w:t>
      </w:r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71002BBF" w:rsidR="00084DE6" w:rsidRPr="00B51C77" w:rsidRDefault="00275DE0" w:rsidP="003B2DBB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3B2DBB">
        <w:t>2</w:t>
      </w:r>
      <w:r w:rsidR="005B742A">
        <w:t>68275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3B2DBB">
      <w:pPr>
        <w:pStyle w:val="Textoindependiente"/>
      </w:pPr>
    </w:p>
    <w:p w14:paraId="35924192" w14:textId="09F41C45" w:rsidR="00084DE6" w:rsidRPr="00B51C77" w:rsidRDefault="00275DE0" w:rsidP="003B2DBB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3B2DBB">
      <w:pPr>
        <w:pStyle w:val="Textoindependiente"/>
        <w:jc w:val="both"/>
      </w:pPr>
    </w:p>
    <w:p w14:paraId="0E8B79DC" w14:textId="04C4C19C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5B742A" w:rsidRPr="005B742A">
        <w:rPr>
          <w:bCs/>
          <w:i/>
          <w:iCs/>
          <w:color w:val="0000FF"/>
          <w:sz w:val="20"/>
          <w:szCs w:val="20"/>
          <w:lang w:val="es-PE"/>
        </w:rPr>
        <w:t>Servicio de apoyo y acompañamiento en el desarrollo de capacidades para el diseño de instrumentos de subvención competitivos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3B2DBB">
      <w:pPr>
        <w:pStyle w:val="Textoindependiente"/>
        <w:jc w:val="both"/>
      </w:pPr>
    </w:p>
    <w:p w14:paraId="17CEB06F" w14:textId="09976C0E" w:rsidR="00084DE6" w:rsidRPr="00CF7518" w:rsidRDefault="00275DE0" w:rsidP="003B2DBB">
      <w:pPr>
        <w:pStyle w:val="Textoindependiente"/>
        <w:jc w:val="both"/>
      </w:pPr>
      <w:r w:rsidRPr="00CF7518">
        <w:t xml:space="preserve">El </w:t>
      </w:r>
      <w:r w:rsidR="00351976" w:rsidRPr="00CF7518">
        <w:t>Programa Nacional de Investigación de Investigación Científica y Estudios Avanzados - PROCIENCIA</w:t>
      </w:r>
      <w:r w:rsidRPr="00CF7518">
        <w:t xml:space="preserve"> (</w:t>
      </w:r>
      <w:r w:rsidR="00351976" w:rsidRPr="00CF7518">
        <w:t xml:space="preserve">antes </w:t>
      </w:r>
      <w:r w:rsidRPr="00CF7518">
        <w:t>FONDECYT) por solicitud del</w:t>
      </w:r>
      <w:r w:rsidRPr="00CF7518">
        <w:rPr>
          <w:spacing w:val="1"/>
        </w:rPr>
        <w:t xml:space="preserve"> </w:t>
      </w:r>
      <w:r w:rsidRPr="00CF7518">
        <w:t>Consejo Nacional de Ciencia, Tecnología, e Innovación Tecnológica (CONCYTEC), invita a las firmas consultoras</w:t>
      </w:r>
      <w:r w:rsidRPr="00CF7518">
        <w:rPr>
          <w:spacing w:val="1"/>
        </w:rPr>
        <w:t xml:space="preserve"> </w:t>
      </w:r>
      <w:r w:rsidRPr="00CF7518">
        <w:t>elegibles a expresar su interés en prestar los servicios solicitados. Los consultores interesados deberán proporcionar</w:t>
      </w:r>
      <w:r w:rsidRPr="00CF7518">
        <w:rPr>
          <w:spacing w:val="1"/>
        </w:rPr>
        <w:t xml:space="preserve"> </w:t>
      </w:r>
      <w:r w:rsidRPr="00CF7518">
        <w:t>información que indique que están cualificados para suministrar los servicios. Los criterios para la selección de la lista</w:t>
      </w:r>
      <w:r w:rsidRPr="00CF7518">
        <w:rPr>
          <w:spacing w:val="1"/>
        </w:rPr>
        <w:t xml:space="preserve"> </w:t>
      </w:r>
      <w:r w:rsidRPr="00CF7518">
        <w:t>corta</w:t>
      </w:r>
      <w:r w:rsidRPr="00CF7518">
        <w:rPr>
          <w:spacing w:val="-1"/>
        </w:rPr>
        <w:t xml:space="preserve"> </w:t>
      </w:r>
      <w:r w:rsidRPr="00CF7518">
        <w:t>son los</w:t>
      </w:r>
      <w:r w:rsidRPr="00CF7518">
        <w:rPr>
          <w:spacing w:val="-1"/>
        </w:rPr>
        <w:t xml:space="preserve"> </w:t>
      </w:r>
      <w:r w:rsidRPr="00CF7518">
        <w:t>siguientes:</w:t>
      </w:r>
    </w:p>
    <w:p w14:paraId="0CC534E3" w14:textId="6970F746" w:rsidR="00084DE6" w:rsidRPr="00CF7518" w:rsidRDefault="00084DE6" w:rsidP="003B2DBB">
      <w:pPr>
        <w:pStyle w:val="Textoindependiente"/>
      </w:pPr>
    </w:p>
    <w:p w14:paraId="4DB9A038" w14:textId="7CE33947" w:rsidR="00F746E8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La firma consultora deberá cumplir con el siguiente perfil mínimo:</w:t>
      </w:r>
    </w:p>
    <w:p w14:paraId="341940F2" w14:textId="47DD49F9" w:rsidR="002D2BFC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6A00BE4B" w14:textId="042C404F" w:rsidR="002D2BFC" w:rsidRPr="00CF7518" w:rsidRDefault="002D2BFC" w:rsidP="002D2BFC">
      <w:pPr>
        <w:pStyle w:val="Default"/>
        <w:numPr>
          <w:ilvl w:val="0"/>
          <w:numId w:val="8"/>
        </w:numPr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Firma consultora con experiencia internacional acreditada de haber desarrollado, conducido o realizado, como mínimo, siete (7) programas de capacitación/entrenamiento y/o servicios de consultoría en materia o relacionados al diseño, implementación, gestión, monitoreo y/o evaluación de instrumentos, esquemas y/o convocatorias concursables de financiamiento y/o subvención (públicos y/o privados) en el ámbito de la I+D y/o CTI, tales como Horizonte 2020, Horizonte Europa u otros similares, dentro de los últimos diez (10) años.</w:t>
      </w:r>
    </w:p>
    <w:p w14:paraId="15A570A5" w14:textId="77777777" w:rsidR="002D2BFC" w:rsidRPr="00CF7518" w:rsidRDefault="002D2BFC" w:rsidP="002D2BFC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2633ACDC" w14:textId="2416B188" w:rsidR="002D2BFC" w:rsidRPr="00CF7518" w:rsidRDefault="002D2BFC" w:rsidP="002D2BFC">
      <w:pPr>
        <w:pStyle w:val="Default"/>
        <w:ind w:left="720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Además, la firma consultora deberá acreditar, dentro de esta experiencia, haber desarrollado, conducido o realizado, como mínimo, un (1) programa de capacitación/entrenamiento a distancia/online (sincrónico y/o asincrónico) en materia o relacionados al diseño, implementación, gestión, monitoreo y/o evaluación de instrumentos, esquemas y/o convocatorias concursables de financiamiento y/o subvención (públicos y/o privados) en el ámbito de la I+D y/o CTI. Finalmente, la firma consultora debe acreditar estar habilitada para emitir certificados de capacitación y/o entrenamiento.</w:t>
      </w:r>
    </w:p>
    <w:p w14:paraId="3BBFBDC8" w14:textId="77777777" w:rsidR="002D2BFC" w:rsidRPr="00CF7518" w:rsidRDefault="002D2BFC" w:rsidP="002D2BFC">
      <w:pPr>
        <w:pStyle w:val="Default"/>
        <w:ind w:left="720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0F6BA8EE" w14:textId="7C099DDF" w:rsidR="002D2BFC" w:rsidRPr="00CF7518" w:rsidRDefault="002D2BFC" w:rsidP="002D2BFC">
      <w:pPr>
        <w:pStyle w:val="Default"/>
        <w:ind w:left="720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Del mismo modo, la firma consultora deberá acreditar, dentro de esta experiencia, haber desarrollado o realizado, como mínimo, un (1) servicio de consultoría vinculado a la formulación, presentación, gestión, evaluación y/o cierre de proyectos de I+D y/o CTI en el marco de programas de financiación europeos (Horizonte 2020, Horizonte Europa, Programa PID-España o similares), dentro de los últimos diez (10) años.</w:t>
      </w:r>
    </w:p>
    <w:p w14:paraId="17FA7484" w14:textId="7E54B335" w:rsidR="00CF7518" w:rsidRPr="00CF7518" w:rsidRDefault="00CF7518" w:rsidP="002D2BFC">
      <w:pPr>
        <w:pStyle w:val="Default"/>
        <w:ind w:left="720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126BEE7E" w14:textId="60C4BE05" w:rsidR="00CF7518" w:rsidRPr="00CF7518" w:rsidRDefault="00CF7518" w:rsidP="00CF7518">
      <w:pPr>
        <w:pStyle w:val="Default"/>
        <w:numPr>
          <w:ilvl w:val="0"/>
          <w:numId w:val="8"/>
        </w:numPr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Asimismo, la propuesta técnica de la firma debe exponer y/o evidenciar que esta cuenta con:</w:t>
      </w:r>
    </w:p>
    <w:p w14:paraId="287346D4" w14:textId="5675D88E" w:rsidR="00F746E8" w:rsidRPr="00CF7518" w:rsidRDefault="00F746E8" w:rsidP="003B2DBB">
      <w:pPr>
        <w:pStyle w:val="Textoindependiente"/>
      </w:pPr>
    </w:p>
    <w:p w14:paraId="5D53A8C9" w14:textId="02FA12D6" w:rsidR="00CF7518" w:rsidRPr="00CF7518" w:rsidRDefault="00CF7518" w:rsidP="00CF7518">
      <w:pPr>
        <w:pStyle w:val="Default"/>
        <w:numPr>
          <w:ilvl w:val="0"/>
          <w:numId w:val="9"/>
        </w:numPr>
        <w:ind w:left="1276" w:hanging="283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Capacidad de brindar soporte en materia de regulaciones, políticas operacionales y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procedimientos relacionados al financiamiento de la CTI y de administración de subvenciones.</w:t>
      </w:r>
    </w:p>
    <w:p w14:paraId="7DCA2ED6" w14:textId="52B65783" w:rsidR="00CF7518" w:rsidRPr="00CF7518" w:rsidRDefault="00CF7518" w:rsidP="00CF7518">
      <w:pPr>
        <w:pStyle w:val="Default"/>
        <w:numPr>
          <w:ilvl w:val="0"/>
          <w:numId w:val="9"/>
        </w:numPr>
        <w:ind w:left="1276" w:hanging="283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Conocimiento de los sistemas regulatorios en materia de innovación, derechos de propiedad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intelectual, transferencia y comercialización tecnológicas en mercados desarrollado y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emergentes.</w:t>
      </w:r>
    </w:p>
    <w:p w14:paraId="61262CAA" w14:textId="6FAA8C5B" w:rsidR="00CF7518" w:rsidRPr="00CF7518" w:rsidRDefault="00CF7518" w:rsidP="00CF7518">
      <w:pPr>
        <w:pStyle w:val="Default"/>
        <w:numPr>
          <w:ilvl w:val="0"/>
          <w:numId w:val="9"/>
        </w:numPr>
        <w:ind w:left="1276" w:hanging="283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Experiencia en el trabajo en gestión de CTI, laboratorios científicos y grupos de investigación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en las áreas estratégicas definidas por CONCYTEC (ver Anexo 1) y en las temáticas de los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instrumentos financieros que serán desarrolladas en el componente práctico del curso.</w:t>
      </w:r>
    </w:p>
    <w:p w14:paraId="74B09167" w14:textId="6E8B2981" w:rsidR="00CF7518" w:rsidRPr="00CF7518" w:rsidRDefault="00CF7518" w:rsidP="00CF7518">
      <w:pPr>
        <w:pStyle w:val="Default"/>
        <w:numPr>
          <w:ilvl w:val="0"/>
          <w:numId w:val="9"/>
        </w:numPr>
        <w:ind w:left="1276" w:hanging="283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lastRenderedPageBreak/>
        <w:t>Experiencia en el diseño y manejo de subvenciones para la modernización de la infraestructura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de investigación y acreditación de laboratorios.</w:t>
      </w:r>
    </w:p>
    <w:p w14:paraId="020190AA" w14:textId="5E8A973C" w:rsidR="00CF7518" w:rsidRPr="00CF7518" w:rsidRDefault="00CF7518" w:rsidP="00CF7518">
      <w:pPr>
        <w:pStyle w:val="Default"/>
        <w:numPr>
          <w:ilvl w:val="0"/>
          <w:numId w:val="9"/>
        </w:numPr>
        <w:ind w:left="1276" w:hanging="283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Contar con equipo con experiencia en evaluar subvenciones competitivas en investigación e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</w:t>
      </w: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innovación a través de un proceso de revisión por pares.</w:t>
      </w:r>
    </w:p>
    <w:p w14:paraId="4A801740" w14:textId="77777777" w:rsidR="00CF7518" w:rsidRPr="00CF7518" w:rsidRDefault="00CF7518" w:rsidP="003B2DBB">
      <w:pPr>
        <w:pStyle w:val="Textoindependiente"/>
      </w:pPr>
    </w:p>
    <w:p w14:paraId="048A9341" w14:textId="77777777" w:rsidR="00084DE6" w:rsidRPr="00CF7518" w:rsidRDefault="00275DE0" w:rsidP="003B2DBB">
      <w:pPr>
        <w:pStyle w:val="Textoindependiente"/>
        <w:jc w:val="both"/>
      </w:pPr>
      <w:r w:rsidRPr="00CF7518">
        <w:t>Los consultores interesados deberán proporcionar información que indique que están cualificados para suministrar los</w:t>
      </w:r>
      <w:r w:rsidRPr="00CF7518">
        <w:rPr>
          <w:spacing w:val="1"/>
        </w:rPr>
        <w:t xml:space="preserve"> </w:t>
      </w:r>
      <w:r w:rsidRPr="00CF7518">
        <w:t>servicios.</w:t>
      </w:r>
      <w:r w:rsidRPr="00CF7518">
        <w:rPr>
          <w:spacing w:val="45"/>
        </w:rPr>
        <w:t xml:space="preserve"> </w:t>
      </w:r>
      <w:r w:rsidRPr="00CF7518">
        <w:t>Para el</w:t>
      </w:r>
      <w:r w:rsidRPr="00CF7518">
        <w:rPr>
          <w:spacing w:val="-1"/>
        </w:rPr>
        <w:t xml:space="preserve"> </w:t>
      </w:r>
      <w:r w:rsidRPr="00CF7518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</w:t>
      </w:r>
      <w:proofErr w:type="spellStart"/>
      <w:r w:rsidRPr="00B51C77">
        <w:rPr>
          <w:sz w:val="20"/>
          <w:szCs w:val="20"/>
        </w:rPr>
        <w:t>ii</w:t>
      </w:r>
      <w:proofErr w:type="spellEnd"/>
      <w:r w:rsidRPr="00B51C77">
        <w:rPr>
          <w:sz w:val="20"/>
          <w:szCs w:val="20"/>
        </w:rPr>
        <w:t>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B51C77" w:rsidRDefault="00A7184C" w:rsidP="003B2DBB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3B2DBB">
      <w:pPr>
        <w:pStyle w:val="Textoindependiente"/>
      </w:pPr>
    </w:p>
    <w:p w14:paraId="17D2D180" w14:textId="77777777" w:rsidR="00084DE6" w:rsidRPr="00B51C77" w:rsidRDefault="00275DE0" w:rsidP="003B2DBB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3B2DBB">
      <w:pPr>
        <w:pStyle w:val="Textoindependiente"/>
      </w:pPr>
    </w:p>
    <w:p w14:paraId="7B2525CA" w14:textId="276F2F6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3B2DBB">
      <w:pPr>
        <w:pStyle w:val="Textoindependiente"/>
      </w:pPr>
    </w:p>
    <w:p w14:paraId="1A896D37" w14:textId="77777777" w:rsidR="00084DE6" w:rsidRDefault="00275DE0" w:rsidP="003B2DBB">
      <w:pPr>
        <w:pStyle w:val="Textoindependiente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3B2DBB">
      <w:pPr>
        <w:pStyle w:val="Textoindependiente"/>
      </w:pPr>
    </w:p>
    <w:p w14:paraId="2C721595" w14:textId="41F47CF0" w:rsidR="00084DE6" w:rsidRDefault="00275DE0" w:rsidP="003B2DBB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95498D">
        <w:rPr>
          <w:b/>
          <w:spacing w:val="-1"/>
          <w:u w:val="single"/>
        </w:rPr>
        <w:t xml:space="preserve">30 </w:t>
      </w:r>
      <w:r w:rsidR="000B15CD">
        <w:rPr>
          <w:b/>
          <w:spacing w:val="-1"/>
          <w:u w:val="single"/>
        </w:rPr>
        <w:t xml:space="preserve">de </w:t>
      </w:r>
      <w:r w:rsidR="005B742A">
        <w:rPr>
          <w:b/>
          <w:spacing w:val="-1"/>
          <w:u w:val="single"/>
        </w:rPr>
        <w:t>mayo</w:t>
      </w:r>
      <w:r w:rsidR="007A452F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3B2DBB">
      <w:pPr>
        <w:pStyle w:val="Textoindependiente"/>
        <w:rPr>
          <w:sz w:val="11"/>
        </w:rPr>
      </w:pPr>
    </w:p>
    <w:p w14:paraId="096E4287" w14:textId="2C80A786" w:rsidR="00651177" w:rsidRDefault="00351976" w:rsidP="003B2DBB">
      <w:pPr>
        <w:pStyle w:val="Textoindependiente"/>
      </w:pPr>
      <w:r>
        <w:t>Programa Nacional de Investigación de Investigación Científica y Estudios Avanzados - PROCIENCIA</w:t>
      </w:r>
    </w:p>
    <w:p w14:paraId="76E95239" w14:textId="3556A5F3" w:rsidR="00084DE6" w:rsidRDefault="00275DE0" w:rsidP="003B2DBB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2DBB">
        <w:t>Apoyo Especialista en Adquisiciones 1 del Proyecto</w:t>
      </w:r>
    </w:p>
    <w:p w14:paraId="70045309" w14:textId="77777777" w:rsidR="00084DE6" w:rsidRDefault="00084DE6" w:rsidP="003B2DBB">
      <w:pPr>
        <w:sectPr w:rsidR="00084DE6" w:rsidSect="003B2DBB">
          <w:headerReference w:type="default" r:id="rId9"/>
          <w:footerReference w:type="default" r:id="rId10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proofErr w:type="spellStart"/>
            <w:r w:rsidRPr="00651177">
              <w:rPr>
                <w:sz w:val="20"/>
              </w:rPr>
              <w:t>N°</w:t>
            </w:r>
            <w:proofErr w:type="spellEnd"/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387D" w14:textId="77777777" w:rsidR="00A7184C" w:rsidRDefault="00A7184C">
      <w:r>
        <w:separator/>
      </w:r>
    </w:p>
  </w:endnote>
  <w:endnote w:type="continuationSeparator" w:id="0">
    <w:p w14:paraId="4DBE79DA" w14:textId="77777777" w:rsidR="00A7184C" w:rsidRDefault="00A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BF6F" w14:textId="77777777" w:rsidR="00A7184C" w:rsidRDefault="00A7184C">
      <w:r>
        <w:separator/>
      </w:r>
    </w:p>
  </w:footnote>
  <w:footnote w:type="continuationSeparator" w:id="0">
    <w:p w14:paraId="70B7697F" w14:textId="77777777" w:rsidR="00A7184C" w:rsidRDefault="00A7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6090A"/>
    <w:multiLevelType w:val="hybridMultilevel"/>
    <w:tmpl w:val="0A888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C3E"/>
    <w:multiLevelType w:val="hybridMultilevel"/>
    <w:tmpl w:val="15083CB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 w16cid:durableId="343367171">
    <w:abstractNumId w:val="5"/>
  </w:num>
  <w:num w:numId="2" w16cid:durableId="394663083">
    <w:abstractNumId w:val="8"/>
  </w:num>
  <w:num w:numId="3" w16cid:durableId="1214465872">
    <w:abstractNumId w:val="0"/>
  </w:num>
  <w:num w:numId="4" w16cid:durableId="1857591">
    <w:abstractNumId w:val="2"/>
  </w:num>
  <w:num w:numId="5" w16cid:durableId="1292443701">
    <w:abstractNumId w:val="7"/>
  </w:num>
  <w:num w:numId="6" w16cid:durableId="224141840">
    <w:abstractNumId w:val="6"/>
  </w:num>
  <w:num w:numId="7" w16cid:durableId="2070112063">
    <w:abstractNumId w:val="1"/>
  </w:num>
  <w:num w:numId="8" w16cid:durableId="1799449585">
    <w:abstractNumId w:val="3"/>
  </w:num>
  <w:num w:numId="9" w16cid:durableId="1609703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237367"/>
    <w:rsid w:val="00275DE0"/>
    <w:rsid w:val="002D2BFC"/>
    <w:rsid w:val="00301F57"/>
    <w:rsid w:val="003365E1"/>
    <w:rsid w:val="00351976"/>
    <w:rsid w:val="003914D9"/>
    <w:rsid w:val="003B2DBB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5B742A"/>
    <w:rsid w:val="00610B29"/>
    <w:rsid w:val="00646020"/>
    <w:rsid w:val="00651177"/>
    <w:rsid w:val="00687360"/>
    <w:rsid w:val="00707A17"/>
    <w:rsid w:val="007A452F"/>
    <w:rsid w:val="008D710C"/>
    <w:rsid w:val="0095498D"/>
    <w:rsid w:val="00964CE9"/>
    <w:rsid w:val="00992892"/>
    <w:rsid w:val="009A0270"/>
    <w:rsid w:val="009A3BED"/>
    <w:rsid w:val="00A011CB"/>
    <w:rsid w:val="00A7184C"/>
    <w:rsid w:val="00A75075"/>
    <w:rsid w:val="00B018E9"/>
    <w:rsid w:val="00B02242"/>
    <w:rsid w:val="00B51C77"/>
    <w:rsid w:val="00BF0A70"/>
    <w:rsid w:val="00CB266C"/>
    <w:rsid w:val="00CC02FC"/>
    <w:rsid w:val="00CF7518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0B00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2</cp:revision>
  <dcterms:created xsi:type="dcterms:W3CDTF">2022-05-20T17:43:00Z</dcterms:created>
  <dcterms:modified xsi:type="dcterms:W3CDTF">2022-05-20T17:43:00Z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